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D847C26" w:rsidR="00992E96" w:rsidRPr="00AC4C5F" w:rsidRDefault="00AC4C5F" w:rsidP="0B50786C">
      <w:pPr>
        <w:pStyle w:val="LGAItemNoHeading"/>
        <w:spacing w:before="240"/>
        <w:jc w:val="both"/>
        <w:rPr>
          <w:rFonts w:ascii="Arial" w:hAnsi="Arial" w:cs="Arial"/>
          <w:sz w:val="28"/>
          <w:szCs w:val="28"/>
          <w:u w:val="single"/>
        </w:rPr>
      </w:pPr>
      <w:r w:rsidRPr="00AC4C5F">
        <w:rPr>
          <w:rFonts w:ascii="Arial" w:hAnsi="Arial" w:cs="Arial"/>
          <w:sz w:val="28"/>
          <w:szCs w:val="28"/>
          <w:u w:val="single"/>
        </w:rPr>
        <w:t xml:space="preserve">Appendix A – Local </w:t>
      </w:r>
      <w:r w:rsidR="0035643B" w:rsidRPr="00AC4C5F">
        <w:rPr>
          <w:rFonts w:ascii="Arial" w:hAnsi="Arial" w:cs="Arial"/>
          <w:sz w:val="28"/>
          <w:szCs w:val="28"/>
          <w:u w:val="single"/>
        </w:rPr>
        <w:t>Government Finance</w:t>
      </w:r>
      <w:r w:rsidR="00793A69" w:rsidRPr="00AC4C5F">
        <w:rPr>
          <w:rFonts w:ascii="Arial" w:hAnsi="Arial" w:cs="Arial"/>
          <w:sz w:val="28"/>
          <w:szCs w:val="28"/>
          <w:u w:val="single"/>
        </w:rPr>
        <w:t xml:space="preserve">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4FA57D77" w:rsidR="00992E96" w:rsidRDefault="001A4541" w:rsidP="0B50786C">
      <w:pPr>
        <w:pStyle w:val="MainText"/>
        <w:spacing w:line="240" w:lineRule="auto"/>
        <w:jc w:val="both"/>
        <w:rPr>
          <w:rFonts w:ascii="Arial" w:hAnsi="Arial" w:cs="Arial"/>
          <w:b/>
          <w:bCs/>
        </w:rPr>
      </w:pPr>
      <w:r>
        <w:rPr>
          <w:rFonts w:ascii="Arial" w:hAnsi="Arial" w:cs="Arial"/>
          <w:b/>
          <w:bCs/>
        </w:rPr>
        <w:t>Purpose</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5F9F674"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794647">
        <w:rPr>
          <w:rFonts w:ascii="Arial" w:hAnsi="Arial" w:cs="Arial"/>
        </w:rPr>
        <w:t>comment</w:t>
      </w:r>
      <w:r w:rsidR="00D91E1D">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3A52328C" w:rsidR="00992E96" w:rsidRPr="00765850" w:rsidRDefault="00AC367C" w:rsidP="00E81B2D">
      <w:pPr>
        <w:pStyle w:val="MainText"/>
        <w:spacing w:line="240" w:lineRule="auto"/>
        <w:rPr>
          <w:rFonts w:ascii="Arial" w:hAnsi="Arial" w:cs="Arial"/>
        </w:rPr>
      </w:pPr>
      <w:r w:rsidRPr="00AC367C">
        <w:rPr>
          <w:rFonts w:ascii="Arial" w:hAnsi="Arial" w:cs="Arial"/>
        </w:rPr>
        <w:t xml:space="preserve">This report updates members on </w:t>
      </w:r>
      <w:r w:rsidR="00396602">
        <w:rPr>
          <w:rFonts w:ascii="Arial" w:hAnsi="Arial" w:cs="Arial"/>
        </w:rPr>
        <w:t xml:space="preserve">the Chancellor’s Autumn Budget, </w:t>
      </w:r>
      <w:r w:rsidRPr="00AC367C">
        <w:rPr>
          <w:rFonts w:ascii="Arial" w:hAnsi="Arial" w:cs="Arial"/>
        </w:rPr>
        <w:t>progress o</w:t>
      </w:r>
      <w:r w:rsidR="0035643B">
        <w:rPr>
          <w:rFonts w:ascii="Arial" w:hAnsi="Arial" w:cs="Arial"/>
        </w:rPr>
        <w:t>f</w:t>
      </w:r>
      <w:r w:rsidRPr="00AC367C">
        <w:rPr>
          <w:rFonts w:ascii="Arial" w:hAnsi="Arial" w:cs="Arial"/>
        </w:rPr>
        <w:t xml:space="preserve"> the Fair Funding Review and </w:t>
      </w:r>
      <w:r w:rsidR="00776298">
        <w:rPr>
          <w:rFonts w:ascii="Arial" w:hAnsi="Arial" w:cs="Arial"/>
        </w:rPr>
        <w:t xml:space="preserve">further </w:t>
      </w:r>
      <w:r w:rsidRPr="00AC367C">
        <w:rPr>
          <w:rFonts w:ascii="Arial" w:hAnsi="Arial" w:cs="Arial"/>
        </w:rPr>
        <w:t>Business Rates Retention</w:t>
      </w:r>
      <w:r w:rsidR="0035643B">
        <w:rPr>
          <w:rFonts w:ascii="Arial" w:hAnsi="Arial" w:cs="Arial"/>
        </w:rPr>
        <w:t>, as well as other local government finance items not covered elsewhere on the agenda of the Resources Board</w:t>
      </w:r>
      <w:r w:rsidRPr="00AC367C">
        <w:rPr>
          <w:rFonts w:ascii="Arial" w:hAnsi="Arial" w:cs="Arial"/>
        </w:rPr>
        <w:t>.</w:t>
      </w:r>
      <w:r>
        <w:rPr>
          <w:rFonts w:ascii="Arial" w:hAnsi="Arial" w:cs="Arial"/>
        </w:rPr>
        <w:t xml:space="preserve"> </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21EC98E2" w14:textId="43079E2C" w:rsidR="00793A69" w:rsidRDefault="0B50786C" w:rsidP="0B50786C">
            <w:pPr>
              <w:pStyle w:val="MainText"/>
              <w:spacing w:line="240" w:lineRule="auto"/>
              <w:jc w:val="both"/>
              <w:rPr>
                <w:rFonts w:ascii="Arial" w:hAnsi="Arial" w:cs="Arial"/>
              </w:rPr>
            </w:pPr>
            <w:r w:rsidRPr="0B50786C">
              <w:rPr>
                <w:rFonts w:ascii="Arial" w:hAnsi="Arial" w:cs="Arial"/>
              </w:rPr>
              <w:t>That members</w:t>
            </w:r>
            <w:r w:rsidR="00D91E1D">
              <w:rPr>
                <w:rFonts w:ascii="Arial" w:hAnsi="Arial" w:cs="Arial"/>
              </w:rPr>
              <w:t xml:space="preserve"> of </w:t>
            </w:r>
            <w:r w:rsidR="00E81B2D">
              <w:rPr>
                <w:rFonts w:ascii="Arial" w:hAnsi="Arial" w:cs="Arial"/>
              </w:rPr>
              <w:t>Resources Board note this update.</w:t>
            </w:r>
          </w:p>
          <w:p w14:paraId="011708E6" w14:textId="77777777" w:rsidR="002917B4" w:rsidRPr="0021114E" w:rsidRDefault="002917B4" w:rsidP="002917B4">
            <w:pPr>
              <w:pStyle w:val="MainText"/>
              <w:spacing w:line="240" w:lineRule="auto"/>
              <w:ind w:left="720"/>
              <w:jc w:val="both"/>
              <w:rPr>
                <w:rFonts w:ascii="Arial" w:hAnsi="Arial" w:cs="Arial"/>
              </w:rPr>
            </w:pP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B50786C" w:rsidP="0B50786C">
            <w:pPr>
              <w:pStyle w:val="MainText"/>
              <w:spacing w:line="240" w:lineRule="auto"/>
              <w:jc w:val="both"/>
              <w:rPr>
                <w:rFonts w:ascii="Arial" w:hAnsi="Arial" w:cs="Arial"/>
                <w:b/>
                <w:bCs/>
              </w:rPr>
            </w:pPr>
            <w:r w:rsidRPr="0B50786C">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CCE5E61" w14:textId="04505200" w:rsidR="00D91E1D" w:rsidRPr="0021114E" w:rsidRDefault="00D91E1D" w:rsidP="007977F7">
            <w:pPr>
              <w:pStyle w:val="MainText"/>
              <w:spacing w:line="240" w:lineRule="auto"/>
              <w:jc w:val="both"/>
              <w:rPr>
                <w:rFonts w:ascii="Arial" w:hAnsi="Arial" w:cs="Arial"/>
                <w:b/>
                <w:szCs w:val="22"/>
              </w:rPr>
            </w:pPr>
            <w:r>
              <w:rPr>
                <w:rFonts w:ascii="Arial" w:hAnsi="Arial" w:cs="Arial"/>
                <w:szCs w:val="22"/>
              </w:rPr>
              <w:t xml:space="preserve">Officers to proceed with delivery of the LGA work programme on </w:t>
            </w:r>
            <w:r w:rsidR="0035643B">
              <w:rPr>
                <w:rFonts w:ascii="Arial" w:hAnsi="Arial" w:cs="Arial"/>
                <w:szCs w:val="22"/>
              </w:rPr>
              <w:t>matters set out in the paper</w:t>
            </w:r>
            <w:r w:rsidR="00D0001F">
              <w:rPr>
                <w:rFonts w:ascii="Arial" w:hAnsi="Arial" w:cs="Arial"/>
                <w:szCs w:val="22"/>
              </w:rPr>
              <w:t xml:space="preserve"> as recommended by the Board</w:t>
            </w:r>
            <w:r>
              <w:rPr>
                <w:rFonts w:ascii="Arial" w:hAnsi="Arial" w:cs="Arial"/>
                <w:szCs w:val="22"/>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01A694EB"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Nicola Morton</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6F32E820"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Head of Local Government Finance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19B10506"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020 7664 3197</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470F1F8B" w:rsidR="00992E96" w:rsidRPr="00E81B2D" w:rsidRDefault="00687C94" w:rsidP="00E81B2D">
            <w:pPr>
              <w:pStyle w:val="MainText"/>
              <w:spacing w:before="120" w:line="240" w:lineRule="auto"/>
              <w:jc w:val="both"/>
              <w:rPr>
                <w:rFonts w:ascii="Arial" w:hAnsi="Arial" w:cs="Arial"/>
                <w:sz w:val="22"/>
                <w:szCs w:val="22"/>
              </w:rPr>
            </w:pPr>
            <w:hyperlink r:id="rId11" w:history="1">
              <w:r w:rsidR="00E81B2D" w:rsidRPr="00E81B2D">
                <w:rPr>
                  <w:rStyle w:val="Hyperlink"/>
                  <w:rFonts w:ascii="Arial" w:hAnsi="Arial" w:cs="Arial"/>
                  <w:sz w:val="22"/>
                  <w:szCs w:val="22"/>
                </w:rPr>
                <w:t>Nicola.morton@local.gov.uk</w:t>
              </w:r>
            </w:hyperlink>
            <w:r w:rsidR="00E81B2D" w:rsidRPr="00E81B2D">
              <w:rPr>
                <w:rFonts w:ascii="Arial" w:hAnsi="Arial" w:cs="Arial"/>
                <w:sz w:val="22"/>
                <w:szCs w:val="22"/>
              </w:rPr>
              <w:t xml:space="preserve"> </w:t>
            </w:r>
            <w:r w:rsidR="002048CA" w:rsidRPr="00E81B2D">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002E5FBA" w14:textId="77777777" w:rsidR="00A500BA" w:rsidRPr="00AC4C5F" w:rsidRDefault="00A500BA" w:rsidP="00A500BA">
      <w:pPr>
        <w:pStyle w:val="LGAItemNoHeading"/>
        <w:spacing w:before="240"/>
        <w:jc w:val="both"/>
        <w:rPr>
          <w:rFonts w:ascii="Arial" w:hAnsi="Arial" w:cs="Arial"/>
          <w:sz w:val="28"/>
          <w:szCs w:val="28"/>
          <w:u w:val="single"/>
        </w:rPr>
      </w:pPr>
      <w:bookmarkStart w:id="1" w:name="MainHeading2"/>
      <w:bookmarkEnd w:id="1"/>
      <w:r w:rsidRPr="00AC4C5F">
        <w:rPr>
          <w:rFonts w:ascii="Arial" w:hAnsi="Arial" w:cs="Arial"/>
          <w:sz w:val="28"/>
          <w:szCs w:val="28"/>
          <w:u w:val="single"/>
        </w:rPr>
        <w:lastRenderedPageBreak/>
        <w:t>Appendix A – Local Government Finance Update</w:t>
      </w:r>
    </w:p>
    <w:p w14:paraId="6CE9F38A" w14:textId="62F5D26A" w:rsidR="00765850" w:rsidRPr="002048CA" w:rsidRDefault="0B50786C" w:rsidP="00720BE8">
      <w:pPr>
        <w:rPr>
          <w:rFonts w:ascii="Arial" w:hAnsi="Arial" w:cs="Arial"/>
          <w:b/>
          <w:bCs/>
        </w:rPr>
      </w:pPr>
      <w:r w:rsidRPr="0B50786C">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353E2170" w14:textId="0C8793EC" w:rsidR="00E77471" w:rsidRPr="00E77471" w:rsidRDefault="0035643B" w:rsidP="0035643B">
      <w:pPr>
        <w:pStyle w:val="MainText"/>
        <w:numPr>
          <w:ilvl w:val="0"/>
          <w:numId w:val="1"/>
        </w:numPr>
        <w:spacing w:line="240" w:lineRule="auto"/>
        <w:rPr>
          <w:rFonts w:ascii="Arial" w:hAnsi="Arial" w:cs="Arial"/>
          <w:szCs w:val="22"/>
        </w:rPr>
      </w:pPr>
      <w:r w:rsidRPr="0035643B">
        <w:rPr>
          <w:rFonts w:ascii="Arial" w:hAnsi="Arial" w:cs="Arial"/>
        </w:rPr>
        <w:t xml:space="preserve">This report updates members on </w:t>
      </w:r>
      <w:r w:rsidR="00396602">
        <w:rPr>
          <w:rFonts w:ascii="Arial" w:hAnsi="Arial" w:cs="Arial"/>
        </w:rPr>
        <w:t xml:space="preserve">the Chancellor’s Autumn Budget, </w:t>
      </w:r>
      <w:r w:rsidRPr="0035643B">
        <w:rPr>
          <w:rFonts w:ascii="Arial" w:hAnsi="Arial" w:cs="Arial"/>
        </w:rPr>
        <w:t xml:space="preserve">progress of the Fair Funding Review and </w:t>
      </w:r>
      <w:r w:rsidR="00776298">
        <w:rPr>
          <w:rFonts w:ascii="Arial" w:hAnsi="Arial" w:cs="Arial"/>
        </w:rPr>
        <w:t xml:space="preserve">further </w:t>
      </w:r>
      <w:r w:rsidRPr="0035643B">
        <w:rPr>
          <w:rFonts w:ascii="Arial" w:hAnsi="Arial" w:cs="Arial"/>
        </w:rPr>
        <w:t>Business Rates Retention, as well as other local government finance items no</w:t>
      </w:r>
      <w:r>
        <w:rPr>
          <w:rFonts w:ascii="Arial" w:hAnsi="Arial" w:cs="Arial"/>
        </w:rPr>
        <w:t>t</w:t>
      </w:r>
      <w:r w:rsidRPr="0035643B">
        <w:rPr>
          <w:rFonts w:ascii="Arial" w:hAnsi="Arial" w:cs="Arial"/>
        </w:rPr>
        <w:t xml:space="preserve"> covered elsewhere on the agenda of the Resources Board.</w:t>
      </w:r>
    </w:p>
    <w:p w14:paraId="266C0BD6" w14:textId="77777777" w:rsidR="00E77471" w:rsidRDefault="00E77471" w:rsidP="007E7613">
      <w:pPr>
        <w:pStyle w:val="MainText"/>
        <w:spacing w:line="240" w:lineRule="auto"/>
        <w:rPr>
          <w:rFonts w:ascii="Arial" w:hAnsi="Arial" w:cs="Arial"/>
        </w:rPr>
      </w:pPr>
    </w:p>
    <w:p w14:paraId="54DD6EBB" w14:textId="13620119" w:rsidR="00AF7F6D" w:rsidRDefault="00E77471" w:rsidP="0035643B">
      <w:pPr>
        <w:pStyle w:val="MainText"/>
        <w:numPr>
          <w:ilvl w:val="0"/>
          <w:numId w:val="1"/>
        </w:numPr>
        <w:spacing w:line="240" w:lineRule="auto"/>
        <w:rPr>
          <w:rFonts w:ascii="Arial" w:hAnsi="Arial" w:cs="Arial"/>
        </w:rPr>
      </w:pPr>
      <w:r>
        <w:rPr>
          <w:rFonts w:ascii="Arial" w:hAnsi="Arial" w:cs="Arial"/>
        </w:rPr>
        <w:t>Policy on further Business Rates Retention and the Fair Funding Review is being developed through the Task and Finish Group on Business Rates Retention and the Fair Funding Review, Leadership Board and Executive.</w:t>
      </w:r>
    </w:p>
    <w:p w14:paraId="68389008" w14:textId="77777777" w:rsidR="00D91E1D" w:rsidRPr="00687C94" w:rsidRDefault="00D91E1D" w:rsidP="00687C94">
      <w:pPr>
        <w:rPr>
          <w:rFonts w:ascii="Arial" w:hAnsi="Arial" w:cs="Arial"/>
          <w:szCs w:val="22"/>
        </w:rPr>
      </w:pPr>
      <w:bookmarkStart w:id="2" w:name="_GoBack"/>
      <w:bookmarkEnd w:id="2"/>
    </w:p>
    <w:p w14:paraId="39EC1C66" w14:textId="77777777" w:rsidR="00072C2E" w:rsidRPr="008351C7" w:rsidRDefault="00072C2E" w:rsidP="00072C2E">
      <w:pPr>
        <w:rPr>
          <w:rFonts w:ascii="Arial" w:hAnsi="Arial" w:cs="Arial"/>
          <w:b/>
          <w:bCs/>
        </w:rPr>
      </w:pPr>
      <w:r>
        <w:rPr>
          <w:rFonts w:ascii="Arial" w:hAnsi="Arial" w:cs="Arial"/>
          <w:b/>
          <w:bCs/>
        </w:rPr>
        <w:t xml:space="preserve">The Chancellor’s 2018 </w:t>
      </w:r>
      <w:r w:rsidRPr="008351C7">
        <w:rPr>
          <w:rFonts w:ascii="Arial" w:hAnsi="Arial" w:cs="Arial"/>
          <w:b/>
          <w:bCs/>
        </w:rPr>
        <w:t>Budget</w:t>
      </w:r>
      <w:r>
        <w:rPr>
          <w:rFonts w:ascii="Arial" w:hAnsi="Arial" w:cs="Arial"/>
          <w:b/>
          <w:bCs/>
        </w:rPr>
        <w:t xml:space="preserve"> Autumn</w:t>
      </w:r>
    </w:p>
    <w:p w14:paraId="320A4A06" w14:textId="77777777" w:rsidR="00072C2E" w:rsidRPr="008351C7" w:rsidRDefault="00072C2E" w:rsidP="00072C2E">
      <w:pPr>
        <w:rPr>
          <w:rFonts w:ascii="Arial" w:hAnsi="Arial" w:cs="Arial"/>
          <w:b/>
          <w:bCs/>
        </w:rPr>
      </w:pPr>
    </w:p>
    <w:p w14:paraId="4FC6A145" w14:textId="517F6FAF" w:rsidR="00072C2E" w:rsidRPr="008351C7" w:rsidRDefault="00072C2E" w:rsidP="00072C2E">
      <w:pPr>
        <w:pStyle w:val="ListParagraph"/>
        <w:numPr>
          <w:ilvl w:val="0"/>
          <w:numId w:val="1"/>
        </w:numPr>
        <w:rPr>
          <w:rFonts w:ascii="Arial" w:hAnsi="Arial" w:cs="Arial"/>
          <w:bCs/>
        </w:rPr>
      </w:pPr>
      <w:r w:rsidRPr="008351C7">
        <w:rPr>
          <w:rFonts w:ascii="Arial" w:hAnsi="Arial" w:cs="Arial"/>
          <w:bCs/>
        </w:rPr>
        <w:t xml:space="preserve">On Monday 29 October, the Chancellor delivered his 2018 Budget. The LGA issued an </w:t>
      </w:r>
      <w:hyperlink r:id="rId15" w:history="1">
        <w:r w:rsidRPr="00072C2E">
          <w:rPr>
            <w:rStyle w:val="Hyperlink"/>
            <w:rFonts w:ascii="Arial" w:hAnsi="Arial" w:cs="Arial"/>
            <w:bCs/>
          </w:rPr>
          <w:t>on-the-day reaction</w:t>
        </w:r>
      </w:hyperlink>
      <w:r w:rsidRPr="008351C7">
        <w:rPr>
          <w:rFonts w:ascii="Arial" w:hAnsi="Arial" w:cs="Arial"/>
          <w:bCs/>
        </w:rPr>
        <w:t xml:space="preserve">, and </w:t>
      </w:r>
      <w:r w:rsidRPr="00411823">
        <w:rPr>
          <w:rFonts w:ascii="Arial" w:hAnsi="Arial" w:cs="Arial"/>
          <w:bCs/>
        </w:rPr>
        <w:t xml:space="preserve">produced a </w:t>
      </w:r>
      <w:hyperlink r:id="rId16" w:history="1">
        <w:r w:rsidRPr="00072C2E">
          <w:rPr>
            <w:rStyle w:val="Hyperlink"/>
            <w:rFonts w:ascii="Arial" w:hAnsi="Arial" w:cs="Arial"/>
            <w:bCs/>
          </w:rPr>
          <w:t>summary of the key announcements</w:t>
        </w:r>
      </w:hyperlink>
      <w:r w:rsidRPr="00411823">
        <w:rPr>
          <w:rFonts w:ascii="Arial" w:hAnsi="Arial" w:cs="Arial"/>
          <w:bCs/>
        </w:rPr>
        <w:t xml:space="preserve"> for local government.  The following day the LGA published a more comprehensive </w:t>
      </w:r>
      <w:hyperlink r:id="rId17" w:history="1">
        <w:r w:rsidRPr="00072C2E">
          <w:rPr>
            <w:rStyle w:val="Hyperlink"/>
            <w:rFonts w:ascii="Arial" w:hAnsi="Arial" w:cs="Arial"/>
            <w:bCs/>
          </w:rPr>
          <w:t>briefing</w:t>
        </w:r>
        <w:r>
          <w:rPr>
            <w:rStyle w:val="Hyperlink"/>
            <w:rFonts w:ascii="Arial" w:hAnsi="Arial" w:cs="Arial"/>
            <w:bCs/>
          </w:rPr>
          <w:t>,</w:t>
        </w:r>
        <w:r w:rsidRPr="00072C2E">
          <w:rPr>
            <w:rStyle w:val="Hyperlink"/>
            <w:rFonts w:ascii="Arial" w:hAnsi="Arial" w:cs="Arial"/>
            <w:bCs/>
          </w:rPr>
          <w:t xml:space="preserve"> including the LGA’s view of the main announcements</w:t>
        </w:r>
      </w:hyperlink>
      <w:r>
        <w:rPr>
          <w:rFonts w:ascii="Arial" w:hAnsi="Arial" w:cs="Arial"/>
          <w:bCs/>
        </w:rPr>
        <w:t>.</w:t>
      </w:r>
    </w:p>
    <w:p w14:paraId="1225ACC9" w14:textId="77777777" w:rsidR="00072C2E" w:rsidRPr="008351C7" w:rsidRDefault="00072C2E" w:rsidP="00072C2E">
      <w:pPr>
        <w:pStyle w:val="ListParagraph"/>
        <w:tabs>
          <w:tab w:val="left" w:pos="2025"/>
        </w:tabs>
        <w:ind w:left="360"/>
        <w:rPr>
          <w:rFonts w:ascii="Arial" w:hAnsi="Arial" w:cs="Arial"/>
          <w:bCs/>
        </w:rPr>
      </w:pPr>
      <w:r>
        <w:rPr>
          <w:rFonts w:ascii="Arial" w:hAnsi="Arial" w:cs="Arial"/>
          <w:bCs/>
        </w:rPr>
        <w:tab/>
      </w:r>
    </w:p>
    <w:p w14:paraId="4A6250E5" w14:textId="77777777" w:rsidR="00072C2E" w:rsidRPr="008351C7" w:rsidRDefault="00072C2E" w:rsidP="00072C2E">
      <w:pPr>
        <w:pStyle w:val="ListParagraph"/>
        <w:numPr>
          <w:ilvl w:val="0"/>
          <w:numId w:val="1"/>
        </w:numPr>
        <w:rPr>
          <w:rFonts w:ascii="Arial" w:hAnsi="Arial" w:cs="Arial"/>
          <w:bCs/>
        </w:rPr>
      </w:pPr>
      <w:r w:rsidRPr="008351C7">
        <w:rPr>
          <w:rFonts w:ascii="Arial" w:hAnsi="Arial" w:cs="Arial"/>
          <w:bCs/>
        </w:rPr>
        <w:t>The key announcements were:</w:t>
      </w:r>
    </w:p>
    <w:p w14:paraId="38C62BAC" w14:textId="77777777" w:rsidR="00072C2E" w:rsidRPr="008351C7" w:rsidRDefault="00072C2E" w:rsidP="00072C2E">
      <w:pPr>
        <w:pStyle w:val="ListParagraph"/>
        <w:rPr>
          <w:rFonts w:ascii="Arial" w:hAnsi="Arial" w:cs="Arial"/>
          <w:bCs/>
        </w:rPr>
      </w:pPr>
    </w:p>
    <w:p w14:paraId="25862E18" w14:textId="77777777" w:rsidR="00072C2E" w:rsidRPr="008351C7" w:rsidRDefault="00072C2E" w:rsidP="00072C2E">
      <w:pPr>
        <w:pStyle w:val="ListParagraph"/>
        <w:numPr>
          <w:ilvl w:val="1"/>
          <w:numId w:val="1"/>
        </w:numPr>
        <w:ind w:left="993" w:hanging="633"/>
        <w:rPr>
          <w:rFonts w:ascii="Arial" w:hAnsi="Arial" w:cs="Arial"/>
          <w:bCs/>
        </w:rPr>
      </w:pPr>
      <w:r>
        <w:rPr>
          <w:rFonts w:ascii="Arial" w:hAnsi="Arial" w:cs="Arial"/>
          <w:bCs/>
        </w:rPr>
        <w:t>C</w:t>
      </w:r>
      <w:r w:rsidRPr="008351C7">
        <w:rPr>
          <w:rFonts w:ascii="Arial" w:hAnsi="Arial" w:cs="Arial"/>
          <w:bCs/>
        </w:rPr>
        <w:t>onfirmation that the HRA borrowing cap would be lifted as of 30 October 2018.</w:t>
      </w:r>
    </w:p>
    <w:p w14:paraId="27A30292" w14:textId="77777777" w:rsidR="00072C2E" w:rsidRPr="008351C7" w:rsidRDefault="00072C2E" w:rsidP="00072C2E">
      <w:pPr>
        <w:pStyle w:val="ListParagraph"/>
        <w:ind w:left="993" w:hanging="633"/>
        <w:rPr>
          <w:rFonts w:ascii="Arial" w:hAnsi="Arial" w:cs="Arial"/>
          <w:bCs/>
        </w:rPr>
      </w:pPr>
    </w:p>
    <w:p w14:paraId="33A66931" w14:textId="77777777" w:rsidR="00072C2E" w:rsidRPr="008351C7" w:rsidRDefault="00072C2E" w:rsidP="00072C2E">
      <w:pPr>
        <w:pStyle w:val="ListParagraph"/>
        <w:numPr>
          <w:ilvl w:val="1"/>
          <w:numId w:val="1"/>
        </w:numPr>
        <w:ind w:left="993" w:hanging="633"/>
        <w:rPr>
          <w:rFonts w:ascii="Arial" w:hAnsi="Arial" w:cs="Arial"/>
          <w:bCs/>
        </w:rPr>
      </w:pPr>
      <w:r w:rsidRPr="008351C7">
        <w:rPr>
          <w:rFonts w:ascii="Arial" w:hAnsi="Arial" w:cs="Arial"/>
          <w:bCs/>
        </w:rPr>
        <w:t>Additional £650 million funding for adult and children’s social care in 2019/20 (with more detail to follow at the local government finance settlement).</w:t>
      </w:r>
    </w:p>
    <w:p w14:paraId="121E4197" w14:textId="77777777" w:rsidR="00072C2E" w:rsidRPr="008351C7" w:rsidRDefault="00072C2E" w:rsidP="00072C2E">
      <w:pPr>
        <w:pStyle w:val="ListParagraph"/>
        <w:ind w:left="993" w:hanging="633"/>
        <w:rPr>
          <w:rFonts w:ascii="Arial" w:hAnsi="Arial" w:cs="Arial"/>
          <w:bCs/>
        </w:rPr>
      </w:pPr>
    </w:p>
    <w:p w14:paraId="2DC6E798" w14:textId="77777777" w:rsidR="00072C2E" w:rsidRPr="008351C7" w:rsidRDefault="00072C2E" w:rsidP="00072C2E">
      <w:pPr>
        <w:pStyle w:val="ListParagraph"/>
        <w:numPr>
          <w:ilvl w:val="1"/>
          <w:numId w:val="1"/>
        </w:numPr>
        <w:ind w:left="993" w:hanging="633"/>
        <w:rPr>
          <w:rFonts w:ascii="Arial" w:hAnsi="Arial" w:cs="Arial"/>
          <w:bCs/>
        </w:rPr>
      </w:pPr>
      <w:r w:rsidRPr="008351C7">
        <w:rPr>
          <w:rFonts w:ascii="Arial" w:hAnsi="Arial" w:cs="Arial"/>
          <w:bCs/>
        </w:rPr>
        <w:t>Additional £55 million of Disabled Facilities’ Grant funding in 2018/19.</w:t>
      </w:r>
    </w:p>
    <w:p w14:paraId="42AF6C5D" w14:textId="77777777" w:rsidR="00072C2E" w:rsidRPr="008351C7" w:rsidRDefault="00072C2E" w:rsidP="00072C2E">
      <w:pPr>
        <w:pStyle w:val="ListParagraph"/>
        <w:ind w:left="993" w:hanging="633"/>
        <w:rPr>
          <w:rFonts w:ascii="Arial" w:hAnsi="Arial" w:cs="Arial"/>
          <w:bCs/>
        </w:rPr>
      </w:pPr>
    </w:p>
    <w:p w14:paraId="5EDD03D3" w14:textId="77777777" w:rsidR="00072C2E" w:rsidRPr="008351C7" w:rsidRDefault="00072C2E" w:rsidP="00072C2E">
      <w:pPr>
        <w:pStyle w:val="ListParagraph"/>
        <w:numPr>
          <w:ilvl w:val="1"/>
          <w:numId w:val="1"/>
        </w:numPr>
        <w:ind w:left="993" w:hanging="633"/>
        <w:rPr>
          <w:rFonts w:ascii="Arial" w:hAnsi="Arial" w:cs="Arial"/>
          <w:bCs/>
        </w:rPr>
      </w:pPr>
      <w:r w:rsidRPr="008351C7">
        <w:rPr>
          <w:rFonts w:ascii="Arial" w:hAnsi="Arial" w:cs="Arial"/>
          <w:bCs/>
        </w:rPr>
        <w:t>Additional £420 million of funding for local road maintenance in 2018/19.</w:t>
      </w:r>
    </w:p>
    <w:p w14:paraId="5FE89FE6" w14:textId="77777777" w:rsidR="00072C2E" w:rsidRPr="008351C7" w:rsidRDefault="00072C2E" w:rsidP="00072C2E">
      <w:pPr>
        <w:pStyle w:val="ListParagraph"/>
        <w:ind w:left="993" w:hanging="633"/>
        <w:rPr>
          <w:rFonts w:ascii="Arial" w:hAnsi="Arial" w:cs="Arial"/>
          <w:bCs/>
        </w:rPr>
      </w:pPr>
    </w:p>
    <w:p w14:paraId="7A4B2A1F" w14:textId="77777777" w:rsidR="00072C2E" w:rsidRDefault="00072C2E" w:rsidP="00072C2E">
      <w:pPr>
        <w:pStyle w:val="ListParagraph"/>
        <w:numPr>
          <w:ilvl w:val="1"/>
          <w:numId w:val="1"/>
        </w:numPr>
        <w:ind w:left="993" w:hanging="633"/>
        <w:rPr>
          <w:rFonts w:ascii="Arial" w:hAnsi="Arial" w:cs="Arial"/>
          <w:bCs/>
        </w:rPr>
      </w:pPr>
      <w:r w:rsidRPr="008351C7">
        <w:rPr>
          <w:rFonts w:ascii="Arial" w:hAnsi="Arial" w:cs="Arial"/>
          <w:bCs/>
        </w:rPr>
        <w:t>£675 million bid-based co-funding for improvement of high streets.</w:t>
      </w:r>
    </w:p>
    <w:p w14:paraId="309BD2DC" w14:textId="77777777" w:rsidR="00072C2E" w:rsidRPr="000536B2" w:rsidRDefault="00072C2E" w:rsidP="00072C2E">
      <w:pPr>
        <w:pStyle w:val="ListParagraph"/>
        <w:rPr>
          <w:rFonts w:ascii="Arial" w:hAnsi="Arial" w:cs="Arial"/>
          <w:bCs/>
        </w:rPr>
      </w:pPr>
    </w:p>
    <w:p w14:paraId="64F51577" w14:textId="5E8529AC" w:rsidR="00072C2E" w:rsidRPr="008351C7" w:rsidRDefault="003E20C0" w:rsidP="00072C2E">
      <w:pPr>
        <w:pStyle w:val="ListParagraph"/>
        <w:numPr>
          <w:ilvl w:val="1"/>
          <w:numId w:val="1"/>
        </w:numPr>
        <w:ind w:left="993" w:hanging="633"/>
        <w:rPr>
          <w:rFonts w:ascii="Arial" w:hAnsi="Arial" w:cs="Arial"/>
          <w:bCs/>
        </w:rPr>
      </w:pPr>
      <w:r>
        <w:rPr>
          <w:rFonts w:ascii="Arial" w:hAnsi="Arial" w:cs="Arial"/>
          <w:bCs/>
        </w:rPr>
        <w:t>C</w:t>
      </w:r>
      <w:r w:rsidRPr="003E20C0">
        <w:rPr>
          <w:rFonts w:ascii="Arial" w:hAnsi="Arial" w:cs="Arial"/>
          <w:bCs/>
        </w:rPr>
        <w:t xml:space="preserve">utting </w:t>
      </w:r>
      <w:r>
        <w:rPr>
          <w:rFonts w:ascii="Arial" w:hAnsi="Arial" w:cs="Arial"/>
          <w:bCs/>
        </w:rPr>
        <w:t xml:space="preserve">business rates </w:t>
      </w:r>
      <w:r w:rsidRPr="003E20C0">
        <w:rPr>
          <w:rFonts w:ascii="Arial" w:hAnsi="Arial" w:cs="Arial"/>
          <w:bCs/>
        </w:rPr>
        <w:t>bills by one-third for retail properties with a rateable value below £51,000</w:t>
      </w:r>
      <w:r>
        <w:rPr>
          <w:rFonts w:ascii="Arial" w:hAnsi="Arial" w:cs="Arial"/>
          <w:bCs/>
        </w:rPr>
        <w:t xml:space="preserve">, for </w:t>
      </w:r>
      <w:r w:rsidR="00072C2E">
        <w:rPr>
          <w:rFonts w:ascii="Arial" w:hAnsi="Arial" w:cs="Arial"/>
          <w:bCs/>
        </w:rPr>
        <w:t>2019/20</w:t>
      </w:r>
      <w:r>
        <w:rPr>
          <w:rFonts w:ascii="Arial" w:hAnsi="Arial" w:cs="Arial"/>
          <w:bCs/>
        </w:rPr>
        <w:t xml:space="preserve"> and 2020/21</w:t>
      </w:r>
      <w:r w:rsidR="00072C2E">
        <w:rPr>
          <w:rFonts w:ascii="Arial" w:hAnsi="Arial" w:cs="Arial"/>
          <w:bCs/>
        </w:rPr>
        <w:t xml:space="preserve">. </w:t>
      </w:r>
    </w:p>
    <w:p w14:paraId="29456460" w14:textId="77777777" w:rsidR="00072C2E" w:rsidRPr="008351C7" w:rsidRDefault="00072C2E" w:rsidP="00072C2E">
      <w:pPr>
        <w:pStyle w:val="ListParagraph"/>
        <w:ind w:left="993" w:hanging="633"/>
        <w:rPr>
          <w:rFonts w:ascii="Arial" w:hAnsi="Arial" w:cs="Arial"/>
          <w:bCs/>
        </w:rPr>
      </w:pPr>
    </w:p>
    <w:p w14:paraId="66289129" w14:textId="77777777" w:rsidR="00072C2E" w:rsidRDefault="00072C2E" w:rsidP="00072C2E">
      <w:pPr>
        <w:pStyle w:val="ListParagraph"/>
        <w:numPr>
          <w:ilvl w:val="1"/>
          <w:numId w:val="1"/>
        </w:numPr>
        <w:ind w:left="993" w:hanging="633"/>
        <w:rPr>
          <w:rFonts w:ascii="Arial" w:hAnsi="Arial" w:cs="Arial"/>
          <w:bCs/>
        </w:rPr>
      </w:pPr>
      <w:r w:rsidRPr="008351C7">
        <w:rPr>
          <w:rFonts w:ascii="Arial" w:hAnsi="Arial" w:cs="Arial"/>
          <w:bCs/>
        </w:rPr>
        <w:t>A new levy on large, multinational digital businesses – this is covered in more detail in the fiscal devolution paper, also on today’s agenda.</w:t>
      </w:r>
    </w:p>
    <w:p w14:paraId="3D55CD60" w14:textId="77777777" w:rsidR="00072C2E" w:rsidRPr="008351C7" w:rsidRDefault="00072C2E" w:rsidP="00072C2E">
      <w:pPr>
        <w:pStyle w:val="ListParagraph"/>
        <w:rPr>
          <w:rFonts w:ascii="Arial" w:hAnsi="Arial" w:cs="Arial"/>
          <w:bCs/>
        </w:rPr>
      </w:pPr>
    </w:p>
    <w:p w14:paraId="1FB4C2E7" w14:textId="77777777" w:rsidR="00072C2E" w:rsidRDefault="00072C2E" w:rsidP="00072C2E">
      <w:pPr>
        <w:pStyle w:val="ListParagraph"/>
        <w:numPr>
          <w:ilvl w:val="0"/>
          <w:numId w:val="1"/>
        </w:numPr>
        <w:rPr>
          <w:rFonts w:ascii="Arial" w:hAnsi="Arial" w:cs="Arial"/>
          <w:bCs/>
        </w:rPr>
      </w:pPr>
      <w:r>
        <w:rPr>
          <w:rFonts w:ascii="Arial" w:hAnsi="Arial" w:cs="Arial"/>
          <w:bCs/>
        </w:rPr>
        <w:t>The Budget included a draft high-level plan for UK public spending from 2020/21 to 2023/24 which could form the basis of the 2019 Spending Review.</w:t>
      </w:r>
    </w:p>
    <w:p w14:paraId="74A5E863" w14:textId="77777777" w:rsidR="00072C2E" w:rsidRPr="008351C7" w:rsidRDefault="00072C2E" w:rsidP="00072C2E">
      <w:pPr>
        <w:pStyle w:val="ListParagraph"/>
        <w:ind w:left="360"/>
        <w:rPr>
          <w:rFonts w:ascii="Arial" w:hAnsi="Arial" w:cs="Arial"/>
          <w:bCs/>
        </w:rPr>
      </w:pPr>
    </w:p>
    <w:p w14:paraId="1BD12151" w14:textId="10AC26C8" w:rsidR="00072C2E" w:rsidRDefault="00072C2E" w:rsidP="00072C2E">
      <w:pPr>
        <w:pStyle w:val="ListParagraph"/>
        <w:numPr>
          <w:ilvl w:val="0"/>
          <w:numId w:val="1"/>
        </w:numPr>
        <w:rPr>
          <w:rFonts w:ascii="Arial" w:hAnsi="Arial" w:cs="Arial"/>
          <w:bCs/>
        </w:rPr>
      </w:pPr>
      <w:r w:rsidRPr="008351C7">
        <w:rPr>
          <w:rFonts w:ascii="Arial" w:hAnsi="Arial" w:cs="Arial"/>
          <w:bCs/>
        </w:rPr>
        <w:t>From 2019/20 to 2023/24, Resource D</w:t>
      </w:r>
      <w:r>
        <w:rPr>
          <w:rFonts w:ascii="Arial" w:hAnsi="Arial" w:cs="Arial"/>
          <w:bCs/>
        </w:rPr>
        <w:t xml:space="preserve">epartment </w:t>
      </w:r>
      <w:r w:rsidRPr="008351C7">
        <w:rPr>
          <w:rFonts w:ascii="Arial" w:hAnsi="Arial" w:cs="Arial"/>
          <w:bCs/>
        </w:rPr>
        <w:t>E</w:t>
      </w:r>
      <w:r>
        <w:rPr>
          <w:rFonts w:ascii="Arial" w:hAnsi="Arial" w:cs="Arial"/>
          <w:bCs/>
        </w:rPr>
        <w:t xml:space="preserve">xpenditure </w:t>
      </w:r>
      <w:r w:rsidRPr="008351C7">
        <w:rPr>
          <w:rFonts w:ascii="Arial" w:hAnsi="Arial" w:cs="Arial"/>
          <w:bCs/>
        </w:rPr>
        <w:t>L</w:t>
      </w:r>
      <w:r>
        <w:rPr>
          <w:rFonts w:ascii="Arial" w:hAnsi="Arial" w:cs="Arial"/>
          <w:bCs/>
        </w:rPr>
        <w:t>imits (Resource DEL – this is the day-to-day government departmental spending, which includes revenue grants to local government)</w:t>
      </w:r>
      <w:r w:rsidRPr="008351C7">
        <w:rPr>
          <w:rFonts w:ascii="Arial" w:hAnsi="Arial" w:cs="Arial"/>
          <w:bCs/>
        </w:rPr>
        <w:t xml:space="preserve"> will grow at an average of 1.2</w:t>
      </w:r>
      <w:r w:rsidR="00AC4C5F">
        <w:rPr>
          <w:rFonts w:ascii="Arial" w:hAnsi="Arial" w:cs="Arial"/>
          <w:bCs/>
        </w:rPr>
        <w:t xml:space="preserve"> per cent,</w:t>
      </w:r>
      <w:r w:rsidRPr="008351C7">
        <w:rPr>
          <w:rFonts w:ascii="Arial" w:hAnsi="Arial" w:cs="Arial"/>
          <w:bCs/>
        </w:rPr>
        <w:t xml:space="preserve"> per year in real terms.</w:t>
      </w:r>
    </w:p>
    <w:p w14:paraId="40F7E3F0" w14:textId="77777777" w:rsidR="00072C2E" w:rsidRDefault="00072C2E" w:rsidP="00072C2E">
      <w:pPr>
        <w:pStyle w:val="ListParagraph"/>
        <w:ind w:left="360"/>
        <w:rPr>
          <w:rFonts w:ascii="Arial" w:hAnsi="Arial" w:cs="Arial"/>
          <w:bCs/>
        </w:rPr>
      </w:pPr>
    </w:p>
    <w:p w14:paraId="00F03AEB" w14:textId="03563D68" w:rsidR="00072C2E" w:rsidRDefault="00072C2E" w:rsidP="00072C2E">
      <w:pPr>
        <w:pStyle w:val="ListParagraph"/>
        <w:numPr>
          <w:ilvl w:val="0"/>
          <w:numId w:val="1"/>
        </w:numPr>
        <w:rPr>
          <w:rFonts w:ascii="Arial" w:hAnsi="Arial" w:cs="Arial"/>
          <w:bCs/>
        </w:rPr>
      </w:pPr>
      <w:r w:rsidRPr="008351C7">
        <w:rPr>
          <w:rFonts w:ascii="Arial" w:hAnsi="Arial" w:cs="Arial"/>
          <w:bCs/>
        </w:rPr>
        <w:t xml:space="preserve">However, this includes the decision to increase NHS funding which has an impact on the settlements for other departments. </w:t>
      </w:r>
      <w:r>
        <w:rPr>
          <w:rFonts w:ascii="Arial" w:hAnsi="Arial" w:cs="Arial"/>
          <w:bCs/>
        </w:rPr>
        <w:t xml:space="preserve">Taking into account past decisions to protect particular departmental budgets, such as education, defence </w:t>
      </w:r>
      <w:r w:rsidR="004D0B91">
        <w:rPr>
          <w:rFonts w:ascii="Arial" w:hAnsi="Arial" w:cs="Arial"/>
          <w:bCs/>
        </w:rPr>
        <w:t>and</w:t>
      </w:r>
      <w:r>
        <w:rPr>
          <w:rFonts w:ascii="Arial" w:hAnsi="Arial" w:cs="Arial"/>
          <w:bCs/>
        </w:rPr>
        <w:t xml:space="preserve"> international aid, there </w:t>
      </w:r>
      <w:r>
        <w:rPr>
          <w:rFonts w:ascii="Arial" w:hAnsi="Arial" w:cs="Arial"/>
          <w:bCs/>
        </w:rPr>
        <w:lastRenderedPageBreak/>
        <w:t>is a clear need for local government to put forward a strong case ahead of the Spending Review.</w:t>
      </w:r>
    </w:p>
    <w:p w14:paraId="1B10FCD9" w14:textId="77777777" w:rsidR="00072C2E" w:rsidRPr="008351C7" w:rsidRDefault="00072C2E" w:rsidP="00072C2E">
      <w:pPr>
        <w:pStyle w:val="ListParagraph"/>
        <w:rPr>
          <w:rFonts w:ascii="Arial" w:hAnsi="Arial" w:cs="Arial"/>
          <w:bCs/>
        </w:rPr>
      </w:pPr>
    </w:p>
    <w:p w14:paraId="75C0E281" w14:textId="77777777" w:rsidR="00072C2E" w:rsidRDefault="00072C2E" w:rsidP="00072C2E">
      <w:pPr>
        <w:pStyle w:val="ListParagraph"/>
        <w:numPr>
          <w:ilvl w:val="0"/>
          <w:numId w:val="1"/>
        </w:numPr>
        <w:rPr>
          <w:rFonts w:ascii="Arial" w:hAnsi="Arial" w:cs="Arial"/>
          <w:bCs/>
        </w:rPr>
      </w:pPr>
      <w:r>
        <w:rPr>
          <w:rFonts w:ascii="Arial" w:hAnsi="Arial" w:cs="Arial"/>
          <w:bCs/>
        </w:rPr>
        <w:t>It is also worth noting that, due to the business rates retention reforms, a significant majority of local authority income – everything funded through locally retained taxation - sits outside the Government’s definition of Resource DEL. This represents an opportunity for local government to state a stronger case against further funding reductions, and also a challenge to make sure that the Government’s business rates retention plans are delivered in full.</w:t>
      </w:r>
    </w:p>
    <w:p w14:paraId="03BE53C2" w14:textId="77777777" w:rsidR="00072C2E" w:rsidRPr="003E1C04" w:rsidRDefault="00072C2E" w:rsidP="00072C2E">
      <w:pPr>
        <w:pStyle w:val="ListParagraph"/>
        <w:rPr>
          <w:rFonts w:ascii="Arial" w:hAnsi="Arial" w:cs="Arial"/>
          <w:bCs/>
        </w:rPr>
      </w:pPr>
    </w:p>
    <w:p w14:paraId="379FF01A" w14:textId="77777777" w:rsidR="00072C2E" w:rsidRPr="008351C7" w:rsidRDefault="00072C2E" w:rsidP="00072C2E">
      <w:pPr>
        <w:pStyle w:val="ListParagraph"/>
        <w:numPr>
          <w:ilvl w:val="0"/>
          <w:numId w:val="1"/>
        </w:numPr>
        <w:rPr>
          <w:rFonts w:ascii="Arial" w:hAnsi="Arial" w:cs="Arial"/>
          <w:bCs/>
        </w:rPr>
      </w:pPr>
      <w:r>
        <w:rPr>
          <w:rFonts w:ascii="Arial" w:hAnsi="Arial" w:cs="Arial"/>
          <w:bCs/>
        </w:rPr>
        <w:t>The timing of the Spending Review remains uncertain. However, in his evidence to the Treasury Select Committee the Chancellor said he hopes to announce the outcome at the 2019 autumn Budget.</w:t>
      </w:r>
    </w:p>
    <w:p w14:paraId="692C0022" w14:textId="77777777" w:rsidR="00072C2E" w:rsidRDefault="00072C2E" w:rsidP="0035643B">
      <w:pPr>
        <w:rPr>
          <w:rFonts w:ascii="Arial" w:hAnsi="Arial" w:cs="Arial"/>
          <w:b/>
          <w:bCs/>
          <w:szCs w:val="22"/>
        </w:rPr>
      </w:pPr>
    </w:p>
    <w:p w14:paraId="72E94C18" w14:textId="77777777" w:rsidR="0035643B" w:rsidRPr="006F5A0F" w:rsidRDefault="0035643B" w:rsidP="0035643B">
      <w:pPr>
        <w:rPr>
          <w:rFonts w:ascii="Arial" w:hAnsi="Arial" w:cs="Arial"/>
          <w:b/>
          <w:bCs/>
          <w:szCs w:val="22"/>
        </w:rPr>
      </w:pPr>
      <w:r w:rsidRPr="006F5A0F">
        <w:rPr>
          <w:rFonts w:ascii="Arial" w:hAnsi="Arial" w:cs="Arial"/>
          <w:b/>
          <w:bCs/>
          <w:szCs w:val="22"/>
        </w:rPr>
        <w:t>Fair Funding Review</w:t>
      </w:r>
    </w:p>
    <w:p w14:paraId="0108A1A3" w14:textId="77777777" w:rsidR="0035643B" w:rsidRPr="006F5A0F" w:rsidRDefault="0035643B" w:rsidP="0035643B">
      <w:pPr>
        <w:rPr>
          <w:rFonts w:ascii="Arial" w:eastAsia="Arial" w:hAnsi="Arial" w:cs="Arial"/>
          <w:szCs w:val="22"/>
        </w:rPr>
      </w:pPr>
    </w:p>
    <w:p w14:paraId="7B1916F2" w14:textId="77777777" w:rsidR="0035643B" w:rsidRPr="006F5A0F" w:rsidRDefault="0035643B" w:rsidP="0035643B">
      <w:pPr>
        <w:rPr>
          <w:rFonts w:ascii="Arial" w:hAnsi="Arial" w:cs="Arial"/>
          <w:bCs/>
          <w:szCs w:val="22"/>
          <w:u w:val="single"/>
        </w:rPr>
      </w:pPr>
      <w:r w:rsidRPr="006F5A0F">
        <w:rPr>
          <w:rFonts w:ascii="Arial" w:hAnsi="Arial" w:cs="Arial"/>
          <w:bCs/>
          <w:szCs w:val="22"/>
          <w:u w:val="single"/>
        </w:rPr>
        <w:t>Delivery of the LGA Fair Funding Review work programme</w:t>
      </w:r>
    </w:p>
    <w:p w14:paraId="449FA24C" w14:textId="77777777" w:rsidR="0035643B" w:rsidRPr="006F5A0F" w:rsidRDefault="0035643B" w:rsidP="0035643B">
      <w:pPr>
        <w:rPr>
          <w:rFonts w:ascii="Arial" w:hAnsi="Arial" w:cs="Arial"/>
          <w:bCs/>
          <w:szCs w:val="22"/>
          <w:u w:val="single"/>
        </w:rPr>
      </w:pPr>
    </w:p>
    <w:p w14:paraId="0C924737" w14:textId="58BE0B8B" w:rsidR="0035643B" w:rsidRPr="00072C2E" w:rsidRDefault="0035643B" w:rsidP="0035643B">
      <w:pPr>
        <w:pStyle w:val="ListParagraph"/>
        <w:numPr>
          <w:ilvl w:val="0"/>
          <w:numId w:val="1"/>
        </w:numPr>
        <w:rPr>
          <w:rFonts w:ascii="Arial" w:hAnsi="Arial" w:cs="Arial"/>
          <w:szCs w:val="22"/>
        </w:rPr>
      </w:pPr>
      <w:r w:rsidRPr="006F5A0F">
        <w:rPr>
          <w:rFonts w:ascii="Arial" w:hAnsi="Arial" w:cs="Arial"/>
          <w:szCs w:val="22"/>
        </w:rPr>
        <w:t xml:space="preserve">In November 2017 the LGA’s Executive and Leadership Board agreed a LGA work </w:t>
      </w:r>
      <w:r w:rsidRPr="00072C2E">
        <w:rPr>
          <w:rFonts w:ascii="Arial" w:hAnsi="Arial" w:cs="Arial"/>
          <w:szCs w:val="22"/>
        </w:rPr>
        <w:t xml:space="preserve">programme on the Fair Funding Review.  A high level update on this work programme is attached as </w:t>
      </w:r>
      <w:r w:rsidRPr="00AA6ED6">
        <w:rPr>
          <w:rFonts w:ascii="Arial" w:hAnsi="Arial" w:cs="Arial"/>
          <w:b/>
          <w:szCs w:val="22"/>
          <w:u w:val="single"/>
        </w:rPr>
        <w:t>A</w:t>
      </w:r>
      <w:r w:rsidR="00AA6ED6" w:rsidRPr="00AA6ED6">
        <w:rPr>
          <w:rFonts w:ascii="Arial" w:hAnsi="Arial" w:cs="Arial"/>
          <w:b/>
          <w:szCs w:val="22"/>
          <w:u w:val="single"/>
        </w:rPr>
        <w:t xml:space="preserve">nnex </w:t>
      </w:r>
      <w:r w:rsidRPr="00AA6ED6">
        <w:rPr>
          <w:rFonts w:ascii="Arial" w:hAnsi="Arial" w:cs="Arial"/>
          <w:b/>
          <w:szCs w:val="22"/>
          <w:u w:val="single"/>
        </w:rPr>
        <w:t>A</w:t>
      </w:r>
      <w:r w:rsidRPr="00072C2E">
        <w:rPr>
          <w:rFonts w:ascii="Arial" w:hAnsi="Arial" w:cs="Arial"/>
          <w:szCs w:val="22"/>
        </w:rPr>
        <w:t xml:space="preserve"> and the following paragraphs provide more detail.</w:t>
      </w:r>
    </w:p>
    <w:p w14:paraId="62C2C1D9" w14:textId="77777777" w:rsidR="0035643B" w:rsidRPr="00072C2E" w:rsidRDefault="0035643B" w:rsidP="0035643B">
      <w:pPr>
        <w:pStyle w:val="ListParagraph"/>
        <w:ind w:left="360"/>
        <w:rPr>
          <w:rFonts w:ascii="Arial" w:hAnsi="Arial" w:cs="Arial"/>
          <w:szCs w:val="22"/>
        </w:rPr>
      </w:pPr>
    </w:p>
    <w:p w14:paraId="64939CDD" w14:textId="241F985D" w:rsidR="0035643B" w:rsidRPr="00072C2E" w:rsidRDefault="0035643B" w:rsidP="0035643B">
      <w:pPr>
        <w:pStyle w:val="ListParagraph"/>
        <w:numPr>
          <w:ilvl w:val="0"/>
          <w:numId w:val="1"/>
        </w:numPr>
        <w:rPr>
          <w:rFonts w:ascii="Arial" w:hAnsi="Arial" w:cs="Arial"/>
          <w:szCs w:val="22"/>
        </w:rPr>
      </w:pPr>
      <w:r w:rsidRPr="00072C2E">
        <w:rPr>
          <w:rFonts w:ascii="Arial" w:hAnsi="Arial" w:cs="Arial"/>
          <w:szCs w:val="22"/>
        </w:rPr>
        <w:t xml:space="preserve">Work on </w:t>
      </w:r>
      <w:hyperlink r:id="rId18" w:history="1">
        <w:r w:rsidRPr="00072C2E">
          <w:rPr>
            <w:rStyle w:val="Hyperlink"/>
            <w:rFonts w:ascii="Arial" w:hAnsi="Arial" w:cs="Arial"/>
            <w:szCs w:val="22"/>
          </w:rPr>
          <w:t>evaluation criteria</w:t>
        </w:r>
      </w:hyperlink>
      <w:r w:rsidR="006F5A0F" w:rsidRPr="00072C2E">
        <w:rPr>
          <w:rFonts w:ascii="Arial" w:hAnsi="Arial" w:cs="Arial"/>
          <w:szCs w:val="22"/>
        </w:rPr>
        <w:t xml:space="preserve">, </w:t>
      </w:r>
      <w:r w:rsidRPr="00072C2E">
        <w:rPr>
          <w:rFonts w:ascii="Arial" w:hAnsi="Arial" w:cs="Arial"/>
          <w:szCs w:val="22"/>
        </w:rPr>
        <w:t xml:space="preserve">the </w:t>
      </w:r>
      <w:hyperlink r:id="rId19" w:history="1">
        <w:r w:rsidRPr="00072C2E">
          <w:rPr>
            <w:rStyle w:val="Hyperlink"/>
            <w:rFonts w:ascii="Arial" w:hAnsi="Arial" w:cs="Arial"/>
            <w:szCs w:val="22"/>
          </w:rPr>
          <w:t>divergence of relative needs over time</w:t>
        </w:r>
      </w:hyperlink>
      <w:r w:rsidRPr="00072C2E">
        <w:rPr>
          <w:rFonts w:ascii="Arial" w:hAnsi="Arial" w:cs="Arial"/>
          <w:szCs w:val="22"/>
        </w:rPr>
        <w:t xml:space="preserve"> </w:t>
      </w:r>
      <w:r w:rsidR="006F5A0F" w:rsidRPr="00072C2E">
        <w:rPr>
          <w:rFonts w:ascii="Arial" w:hAnsi="Arial" w:cs="Arial"/>
          <w:szCs w:val="22"/>
        </w:rPr>
        <w:t xml:space="preserve">and </w:t>
      </w:r>
      <w:hyperlink r:id="rId20" w:history="1">
        <w:r w:rsidR="006F5A0F" w:rsidRPr="00072C2E">
          <w:rPr>
            <w:rStyle w:val="Hyperlink"/>
            <w:rFonts w:ascii="Arial" w:hAnsi="Arial" w:cs="Arial"/>
            <w:szCs w:val="22"/>
          </w:rPr>
          <w:t>relative needs and resources assessment models</w:t>
        </w:r>
      </w:hyperlink>
      <w:r w:rsidR="006F5A0F" w:rsidRPr="00072C2E">
        <w:rPr>
          <w:rFonts w:ascii="Arial" w:hAnsi="Arial" w:cs="Arial"/>
          <w:szCs w:val="22"/>
        </w:rPr>
        <w:t xml:space="preserve"> </w:t>
      </w:r>
      <w:r w:rsidRPr="00072C2E">
        <w:rPr>
          <w:rFonts w:ascii="Arial" w:hAnsi="Arial" w:cs="Arial"/>
          <w:szCs w:val="22"/>
        </w:rPr>
        <w:t>is now complete.</w:t>
      </w:r>
    </w:p>
    <w:p w14:paraId="0DF5ADDE" w14:textId="77777777" w:rsidR="0035643B" w:rsidRPr="00072C2E" w:rsidRDefault="0035643B" w:rsidP="0035643B">
      <w:pPr>
        <w:rPr>
          <w:rFonts w:ascii="Arial" w:hAnsi="Arial" w:cs="Arial"/>
          <w:i/>
          <w:szCs w:val="22"/>
        </w:rPr>
      </w:pPr>
    </w:p>
    <w:p w14:paraId="00B077F1" w14:textId="0442E2A4" w:rsidR="0035643B" w:rsidRPr="00072C2E" w:rsidRDefault="0035643B" w:rsidP="0035643B">
      <w:pPr>
        <w:keepNext/>
        <w:rPr>
          <w:rFonts w:ascii="Arial" w:hAnsi="Arial" w:cs="Arial"/>
          <w:i/>
          <w:szCs w:val="22"/>
        </w:rPr>
      </w:pPr>
      <w:r w:rsidRPr="00072C2E">
        <w:rPr>
          <w:rFonts w:ascii="Arial" w:hAnsi="Arial" w:cs="Arial"/>
          <w:i/>
          <w:szCs w:val="22"/>
        </w:rPr>
        <w:t xml:space="preserve">Transition options </w:t>
      </w:r>
      <w:r w:rsidR="00BE13B5" w:rsidRPr="00072C2E">
        <w:rPr>
          <w:rFonts w:ascii="Arial" w:hAnsi="Arial" w:cs="Arial"/>
          <w:i/>
          <w:szCs w:val="22"/>
        </w:rPr>
        <w:t>review</w:t>
      </w:r>
    </w:p>
    <w:p w14:paraId="489E6769" w14:textId="77777777" w:rsidR="0035643B" w:rsidRPr="00072C2E" w:rsidRDefault="0035643B" w:rsidP="0035643B">
      <w:pPr>
        <w:keepNext/>
        <w:rPr>
          <w:rFonts w:ascii="Arial" w:hAnsi="Arial" w:cs="Arial"/>
          <w:i/>
          <w:szCs w:val="22"/>
        </w:rPr>
      </w:pPr>
    </w:p>
    <w:p w14:paraId="7C9775E2" w14:textId="646A22E7" w:rsidR="006F5A0F" w:rsidRPr="00072C2E" w:rsidRDefault="00F212AE" w:rsidP="00F212AE">
      <w:pPr>
        <w:pStyle w:val="ListParagraph"/>
        <w:numPr>
          <w:ilvl w:val="0"/>
          <w:numId w:val="1"/>
        </w:numPr>
        <w:rPr>
          <w:rFonts w:ascii="Arial" w:hAnsi="Arial" w:cs="Arial"/>
          <w:szCs w:val="22"/>
        </w:rPr>
      </w:pPr>
      <w:r w:rsidRPr="00072C2E">
        <w:rPr>
          <w:rFonts w:ascii="Arial" w:hAnsi="Arial" w:cs="Arial"/>
          <w:szCs w:val="22"/>
        </w:rPr>
        <w:t xml:space="preserve">As agreed at previous meetings of the LGA’s Leadership Board and Executive, </w:t>
      </w:r>
      <w:r w:rsidR="00A569C8" w:rsidRPr="00072C2E">
        <w:rPr>
          <w:rFonts w:ascii="Arial" w:hAnsi="Arial" w:cs="Arial"/>
          <w:szCs w:val="22"/>
        </w:rPr>
        <w:t xml:space="preserve">the LGA </w:t>
      </w:r>
      <w:r w:rsidRPr="00072C2E">
        <w:rPr>
          <w:rFonts w:ascii="Arial" w:hAnsi="Arial" w:cs="Arial"/>
          <w:szCs w:val="22"/>
        </w:rPr>
        <w:t>ha</w:t>
      </w:r>
      <w:r w:rsidR="00A569C8" w:rsidRPr="00072C2E">
        <w:rPr>
          <w:rFonts w:ascii="Arial" w:hAnsi="Arial" w:cs="Arial"/>
          <w:szCs w:val="22"/>
        </w:rPr>
        <w:t>s</w:t>
      </w:r>
      <w:r w:rsidRPr="00072C2E">
        <w:rPr>
          <w:rFonts w:ascii="Arial" w:hAnsi="Arial" w:cs="Arial"/>
          <w:szCs w:val="22"/>
        </w:rPr>
        <w:t xml:space="preserve"> commissioned a review of transition methods previously used in the distribution of funding from central government</w:t>
      </w:r>
      <w:r w:rsidR="00A569C8" w:rsidRPr="00072C2E">
        <w:rPr>
          <w:rFonts w:ascii="Arial" w:hAnsi="Arial" w:cs="Arial"/>
          <w:szCs w:val="22"/>
        </w:rPr>
        <w:t>,</w:t>
      </w:r>
      <w:r w:rsidRPr="00072C2E">
        <w:rPr>
          <w:rFonts w:ascii="Arial" w:hAnsi="Arial" w:cs="Arial"/>
          <w:szCs w:val="22"/>
        </w:rPr>
        <w:t xml:space="preserve"> and a model to assess the impact of different methods of moving from the current pattern of funding to the one following the Fair Funding Review and introduction of 75 per cent retention.</w:t>
      </w:r>
    </w:p>
    <w:p w14:paraId="45E6BE9A" w14:textId="77777777" w:rsidR="006F5A0F" w:rsidRPr="00072C2E" w:rsidRDefault="006F5A0F" w:rsidP="006F5A0F">
      <w:pPr>
        <w:pStyle w:val="ListParagraph"/>
        <w:ind w:left="360"/>
        <w:rPr>
          <w:rFonts w:ascii="Arial" w:hAnsi="Arial" w:cs="Arial"/>
          <w:szCs w:val="22"/>
        </w:rPr>
      </w:pPr>
    </w:p>
    <w:p w14:paraId="5820E43B" w14:textId="1A411177" w:rsidR="0035643B" w:rsidRPr="00072C2E" w:rsidRDefault="006F5A0F" w:rsidP="00087055">
      <w:pPr>
        <w:pStyle w:val="ListParagraph"/>
        <w:numPr>
          <w:ilvl w:val="0"/>
          <w:numId w:val="1"/>
        </w:numPr>
        <w:rPr>
          <w:rFonts w:ascii="Arial" w:hAnsi="Arial" w:cs="Arial"/>
          <w:szCs w:val="22"/>
        </w:rPr>
      </w:pPr>
      <w:r w:rsidRPr="00072C2E">
        <w:rPr>
          <w:rFonts w:ascii="Arial" w:hAnsi="Arial" w:cs="Arial"/>
          <w:szCs w:val="22"/>
        </w:rPr>
        <w:t>At the time of writing, the underlying Excel mode</w:t>
      </w:r>
      <w:r w:rsidR="00087055" w:rsidRPr="00072C2E">
        <w:rPr>
          <w:rFonts w:ascii="Arial" w:hAnsi="Arial" w:cs="Arial"/>
          <w:szCs w:val="22"/>
        </w:rPr>
        <w:t>l was being developed for clearance with the LGA</w:t>
      </w:r>
      <w:r w:rsidRPr="00072C2E">
        <w:rPr>
          <w:rFonts w:ascii="Arial" w:hAnsi="Arial" w:cs="Arial"/>
          <w:szCs w:val="22"/>
        </w:rPr>
        <w:t xml:space="preserve"> Chairman and Group Leaders. The Task and Finish Group will consider the commissioned report, which uses the Excel model for analysis, </w:t>
      </w:r>
      <w:r w:rsidR="00A569C8" w:rsidRPr="00072C2E">
        <w:rPr>
          <w:rFonts w:ascii="Arial" w:hAnsi="Arial" w:cs="Arial"/>
          <w:szCs w:val="22"/>
        </w:rPr>
        <w:t>at</w:t>
      </w:r>
      <w:r w:rsidRPr="00072C2E">
        <w:rPr>
          <w:rFonts w:ascii="Arial" w:hAnsi="Arial" w:cs="Arial"/>
          <w:szCs w:val="22"/>
        </w:rPr>
        <w:t xml:space="preserve"> its </w:t>
      </w:r>
      <w:r w:rsidR="00087055" w:rsidRPr="00072C2E">
        <w:rPr>
          <w:rFonts w:ascii="Arial" w:hAnsi="Arial" w:cs="Arial"/>
          <w:szCs w:val="22"/>
        </w:rPr>
        <w:t>next</w:t>
      </w:r>
      <w:r w:rsidRPr="00072C2E">
        <w:rPr>
          <w:rFonts w:ascii="Arial" w:hAnsi="Arial" w:cs="Arial"/>
          <w:szCs w:val="22"/>
        </w:rPr>
        <w:t xml:space="preserve"> meeting</w:t>
      </w:r>
      <w:r w:rsidR="00A569C8" w:rsidRPr="00072C2E">
        <w:rPr>
          <w:rFonts w:ascii="Arial" w:hAnsi="Arial" w:cs="Arial"/>
          <w:szCs w:val="22"/>
        </w:rPr>
        <w:t xml:space="preserve"> in December</w:t>
      </w:r>
      <w:r w:rsidRPr="00072C2E">
        <w:rPr>
          <w:rFonts w:ascii="Arial" w:hAnsi="Arial" w:cs="Arial"/>
          <w:szCs w:val="22"/>
        </w:rPr>
        <w:t>.</w:t>
      </w:r>
    </w:p>
    <w:p w14:paraId="7563BC98" w14:textId="77777777" w:rsidR="00087055" w:rsidRPr="00072C2E" w:rsidRDefault="00087055" w:rsidP="00087055">
      <w:pPr>
        <w:pStyle w:val="ListParagraph"/>
        <w:rPr>
          <w:rFonts w:ascii="Arial" w:hAnsi="Arial" w:cs="Arial"/>
          <w:szCs w:val="22"/>
        </w:rPr>
      </w:pPr>
    </w:p>
    <w:p w14:paraId="00E0864A" w14:textId="0E471227" w:rsidR="0035643B" w:rsidRPr="00072C2E" w:rsidRDefault="0035643B" w:rsidP="00087055">
      <w:pPr>
        <w:rPr>
          <w:rFonts w:ascii="Arial" w:hAnsi="Arial" w:cs="Arial"/>
          <w:szCs w:val="22"/>
          <w:u w:val="single"/>
        </w:rPr>
      </w:pPr>
      <w:r w:rsidRPr="00072C2E">
        <w:rPr>
          <w:rFonts w:ascii="Arial" w:hAnsi="Arial" w:cs="Arial"/>
          <w:szCs w:val="22"/>
          <w:u w:val="single"/>
        </w:rPr>
        <w:t>Fair Funding Review technical working group update</w:t>
      </w:r>
    </w:p>
    <w:p w14:paraId="6C237130" w14:textId="77777777" w:rsidR="0035643B" w:rsidRPr="006F5A0F" w:rsidRDefault="0035643B" w:rsidP="0035643B">
      <w:pPr>
        <w:keepNext/>
        <w:rPr>
          <w:rFonts w:ascii="Arial" w:hAnsi="Arial" w:cs="Arial"/>
          <w:szCs w:val="22"/>
          <w:highlight w:val="yellow"/>
          <w:u w:val="single"/>
        </w:rPr>
      </w:pPr>
    </w:p>
    <w:p w14:paraId="08EF2DCA" w14:textId="17E82F90" w:rsidR="006F5A0F" w:rsidRDefault="006F5A0F" w:rsidP="006F5A0F">
      <w:pPr>
        <w:pStyle w:val="ListParagraph"/>
        <w:numPr>
          <w:ilvl w:val="0"/>
          <w:numId w:val="1"/>
        </w:numPr>
        <w:rPr>
          <w:rFonts w:ascii="Arial" w:hAnsi="Arial" w:cs="Arial"/>
          <w:szCs w:val="22"/>
        </w:rPr>
      </w:pPr>
      <w:r w:rsidRPr="006F5A0F">
        <w:rPr>
          <w:rFonts w:ascii="Arial" w:hAnsi="Arial" w:cs="Arial"/>
          <w:szCs w:val="22"/>
        </w:rPr>
        <w:t>The 21 September meeting of the needs and redistribution technical working grou</w:t>
      </w:r>
      <w:r>
        <w:rPr>
          <w:rFonts w:ascii="Arial" w:hAnsi="Arial" w:cs="Arial"/>
          <w:szCs w:val="22"/>
        </w:rPr>
        <w:t>p focussed on four main topics:</w:t>
      </w:r>
    </w:p>
    <w:p w14:paraId="2DA132A1" w14:textId="77777777" w:rsidR="00087055" w:rsidRDefault="00087055" w:rsidP="00087055">
      <w:pPr>
        <w:pStyle w:val="ListParagraph"/>
        <w:ind w:left="360"/>
        <w:rPr>
          <w:rFonts w:ascii="Arial" w:hAnsi="Arial" w:cs="Arial"/>
          <w:szCs w:val="22"/>
        </w:rPr>
      </w:pPr>
    </w:p>
    <w:p w14:paraId="3D3D3EEF" w14:textId="73D9C001" w:rsidR="006F5A0F" w:rsidRDefault="006F5A0F" w:rsidP="009A38F9">
      <w:pPr>
        <w:pStyle w:val="ListParagraph"/>
        <w:numPr>
          <w:ilvl w:val="1"/>
          <w:numId w:val="1"/>
        </w:numPr>
        <w:ind w:left="993" w:hanging="633"/>
        <w:rPr>
          <w:rFonts w:ascii="Arial" w:hAnsi="Arial" w:cs="Arial"/>
          <w:szCs w:val="22"/>
        </w:rPr>
      </w:pPr>
      <w:r>
        <w:rPr>
          <w:rFonts w:ascii="Arial" w:hAnsi="Arial" w:cs="Arial"/>
          <w:szCs w:val="22"/>
        </w:rPr>
        <w:t>A</w:t>
      </w:r>
      <w:r w:rsidRPr="006F5A0F">
        <w:rPr>
          <w:rFonts w:ascii="Arial" w:hAnsi="Arial" w:cs="Arial"/>
          <w:szCs w:val="22"/>
        </w:rPr>
        <w:t xml:space="preserve"> paper from the County Councils Network and the Rural Services Network on the additional service costs associated with ruralit</w:t>
      </w:r>
      <w:r>
        <w:rPr>
          <w:rFonts w:ascii="Arial" w:hAnsi="Arial" w:cs="Arial"/>
          <w:szCs w:val="22"/>
        </w:rPr>
        <w:t>y;</w:t>
      </w:r>
    </w:p>
    <w:p w14:paraId="4C13BA71" w14:textId="77777777" w:rsidR="00661D83" w:rsidRDefault="00661D83" w:rsidP="009A38F9">
      <w:pPr>
        <w:pStyle w:val="ListParagraph"/>
        <w:ind w:left="993" w:hanging="633"/>
        <w:rPr>
          <w:rFonts w:ascii="Arial" w:hAnsi="Arial" w:cs="Arial"/>
          <w:szCs w:val="22"/>
        </w:rPr>
      </w:pPr>
    </w:p>
    <w:p w14:paraId="13CEF29B" w14:textId="77777777" w:rsidR="006F5A0F" w:rsidRDefault="006F5A0F" w:rsidP="009A38F9">
      <w:pPr>
        <w:pStyle w:val="ListParagraph"/>
        <w:numPr>
          <w:ilvl w:val="1"/>
          <w:numId w:val="1"/>
        </w:numPr>
        <w:ind w:left="993" w:hanging="633"/>
        <w:rPr>
          <w:rFonts w:ascii="Arial" w:hAnsi="Arial" w:cs="Arial"/>
          <w:szCs w:val="22"/>
        </w:rPr>
      </w:pPr>
      <w:r>
        <w:rPr>
          <w:rFonts w:ascii="Arial" w:hAnsi="Arial" w:cs="Arial"/>
          <w:szCs w:val="22"/>
        </w:rPr>
        <w:t>A</w:t>
      </w:r>
      <w:r w:rsidRPr="006F5A0F">
        <w:rPr>
          <w:rFonts w:ascii="Arial" w:hAnsi="Arial" w:cs="Arial"/>
          <w:szCs w:val="22"/>
        </w:rPr>
        <w:t xml:space="preserve"> paper from SIGOMA and the Core Cities on population concentration</w:t>
      </w:r>
      <w:r>
        <w:rPr>
          <w:rFonts w:ascii="Arial" w:hAnsi="Arial" w:cs="Arial"/>
          <w:szCs w:val="22"/>
        </w:rPr>
        <w:t xml:space="preserve"> and the impact on costs;</w:t>
      </w:r>
    </w:p>
    <w:p w14:paraId="0258DED5" w14:textId="77777777" w:rsidR="00661D83" w:rsidRPr="00661D83" w:rsidRDefault="00661D83" w:rsidP="009A38F9">
      <w:pPr>
        <w:pStyle w:val="ListParagraph"/>
        <w:ind w:left="993" w:hanging="633"/>
        <w:rPr>
          <w:rFonts w:ascii="Arial" w:hAnsi="Arial" w:cs="Arial"/>
          <w:szCs w:val="22"/>
        </w:rPr>
      </w:pPr>
    </w:p>
    <w:p w14:paraId="73726BC0" w14:textId="0939BE7C" w:rsidR="006F5A0F" w:rsidRDefault="006F5A0F" w:rsidP="009A38F9">
      <w:pPr>
        <w:pStyle w:val="ListParagraph"/>
        <w:numPr>
          <w:ilvl w:val="1"/>
          <w:numId w:val="1"/>
        </w:numPr>
        <w:ind w:left="993" w:hanging="633"/>
        <w:rPr>
          <w:rFonts w:ascii="Arial" w:hAnsi="Arial" w:cs="Arial"/>
          <w:szCs w:val="22"/>
        </w:rPr>
      </w:pPr>
      <w:r w:rsidRPr="006F5A0F">
        <w:rPr>
          <w:rFonts w:ascii="Arial" w:hAnsi="Arial" w:cs="Arial"/>
          <w:szCs w:val="22"/>
        </w:rPr>
        <w:lastRenderedPageBreak/>
        <w:t xml:space="preserve">A paper from the North East Combined Authority on the costs of concessionary travel and the potential </w:t>
      </w:r>
      <w:r w:rsidR="00FC251F">
        <w:rPr>
          <w:rFonts w:ascii="Arial" w:hAnsi="Arial" w:cs="Arial"/>
          <w:szCs w:val="22"/>
        </w:rPr>
        <w:t>for</w:t>
      </w:r>
      <w:r w:rsidR="00FC251F" w:rsidRPr="006F5A0F">
        <w:rPr>
          <w:rFonts w:ascii="Arial" w:hAnsi="Arial" w:cs="Arial"/>
          <w:szCs w:val="22"/>
        </w:rPr>
        <w:t xml:space="preserve"> </w:t>
      </w:r>
      <w:r w:rsidRPr="006F5A0F">
        <w:rPr>
          <w:rFonts w:ascii="Arial" w:hAnsi="Arial" w:cs="Arial"/>
          <w:szCs w:val="22"/>
        </w:rPr>
        <w:t>a specific formula for this area within the relative needs assessment;</w:t>
      </w:r>
    </w:p>
    <w:p w14:paraId="332ACA17" w14:textId="77777777" w:rsidR="00661D83" w:rsidRPr="00661D83" w:rsidRDefault="00661D83" w:rsidP="009A38F9">
      <w:pPr>
        <w:pStyle w:val="ListParagraph"/>
        <w:ind w:left="993" w:hanging="633"/>
        <w:rPr>
          <w:rFonts w:ascii="Arial" w:hAnsi="Arial" w:cs="Arial"/>
          <w:szCs w:val="22"/>
        </w:rPr>
      </w:pPr>
    </w:p>
    <w:p w14:paraId="2B60745A" w14:textId="074D4BFB" w:rsidR="006F5A0F" w:rsidRDefault="006F5A0F" w:rsidP="009A38F9">
      <w:pPr>
        <w:pStyle w:val="ListParagraph"/>
        <w:numPr>
          <w:ilvl w:val="1"/>
          <w:numId w:val="1"/>
        </w:numPr>
        <w:ind w:left="993" w:hanging="633"/>
        <w:rPr>
          <w:rFonts w:ascii="Arial" w:hAnsi="Arial" w:cs="Arial"/>
          <w:szCs w:val="22"/>
        </w:rPr>
      </w:pPr>
      <w:r w:rsidRPr="006F5A0F">
        <w:rPr>
          <w:rFonts w:ascii="Arial" w:hAnsi="Arial" w:cs="Arial"/>
          <w:szCs w:val="22"/>
        </w:rPr>
        <w:t xml:space="preserve">A paper from MHCLG on the potential to use population projections in the relative needs formulas wherever possible, to make the assessment more future-proof. This </w:t>
      </w:r>
      <w:r w:rsidR="00FC251F">
        <w:rPr>
          <w:rFonts w:ascii="Arial" w:hAnsi="Arial" w:cs="Arial"/>
          <w:szCs w:val="22"/>
        </w:rPr>
        <w:t>is in line with the LGAs policy on population date to be used in the formulae</w:t>
      </w:r>
      <w:r w:rsidRPr="006F5A0F">
        <w:rPr>
          <w:rFonts w:ascii="Arial" w:hAnsi="Arial" w:cs="Arial"/>
          <w:szCs w:val="22"/>
        </w:rPr>
        <w:t xml:space="preserve">. </w:t>
      </w:r>
    </w:p>
    <w:p w14:paraId="40FACE28" w14:textId="77777777" w:rsidR="00661D83" w:rsidRPr="00661D83" w:rsidRDefault="00661D83" w:rsidP="00661D83">
      <w:pPr>
        <w:pStyle w:val="ListParagraph"/>
        <w:rPr>
          <w:rFonts w:ascii="Arial" w:hAnsi="Arial" w:cs="Arial"/>
          <w:szCs w:val="22"/>
        </w:rPr>
      </w:pPr>
    </w:p>
    <w:p w14:paraId="2E25DDA5" w14:textId="12917265" w:rsidR="006F5A0F" w:rsidRPr="00FC251F" w:rsidRDefault="006F5A0F" w:rsidP="00E62567">
      <w:pPr>
        <w:pStyle w:val="ListParagraph"/>
        <w:numPr>
          <w:ilvl w:val="0"/>
          <w:numId w:val="1"/>
        </w:numPr>
        <w:rPr>
          <w:rFonts w:ascii="Arial" w:hAnsi="Arial" w:cs="Arial"/>
          <w:szCs w:val="22"/>
        </w:rPr>
      </w:pPr>
      <w:r w:rsidRPr="00FC251F">
        <w:rPr>
          <w:rFonts w:ascii="Arial" w:hAnsi="Arial" w:cs="Arial"/>
          <w:szCs w:val="22"/>
        </w:rPr>
        <w:t xml:space="preserve">This was the last meeting of the Group in 2018, with MHCLG officials now focussing on publishing the consultation and then delivering the local government finance settlement. </w:t>
      </w:r>
      <w:r w:rsidR="00FC251F" w:rsidRPr="00FC251F">
        <w:rPr>
          <w:rFonts w:ascii="Arial" w:hAnsi="Arial" w:cs="Arial"/>
          <w:szCs w:val="22"/>
        </w:rPr>
        <w:t xml:space="preserve"> </w:t>
      </w:r>
      <w:r w:rsidRPr="00FC251F">
        <w:rPr>
          <w:rFonts w:ascii="Arial" w:hAnsi="Arial" w:cs="Arial"/>
          <w:szCs w:val="22"/>
        </w:rPr>
        <w:t>When the technical working group reconvenes in 2019, items for consideration are likely to include:</w:t>
      </w:r>
    </w:p>
    <w:p w14:paraId="7DB4C300" w14:textId="77777777" w:rsidR="006F5A0F" w:rsidRPr="00195DE1" w:rsidRDefault="006F5A0F" w:rsidP="006F5A0F">
      <w:pPr>
        <w:rPr>
          <w:rFonts w:ascii="Arial" w:hAnsi="Arial" w:cs="Arial"/>
          <w:szCs w:val="22"/>
        </w:rPr>
      </w:pPr>
    </w:p>
    <w:p w14:paraId="1AA9E2D2" w14:textId="0EB4F2C4" w:rsidR="006F5A0F" w:rsidRPr="00195DE1" w:rsidRDefault="006F5A0F" w:rsidP="009A38F9">
      <w:pPr>
        <w:pStyle w:val="ListParagraph"/>
        <w:numPr>
          <w:ilvl w:val="1"/>
          <w:numId w:val="1"/>
        </w:numPr>
        <w:ind w:left="993" w:hanging="633"/>
        <w:rPr>
          <w:rFonts w:ascii="Arial" w:hAnsi="Arial" w:cs="Arial"/>
          <w:szCs w:val="22"/>
        </w:rPr>
      </w:pPr>
      <w:r w:rsidRPr="00195DE1">
        <w:rPr>
          <w:rFonts w:ascii="Arial" w:hAnsi="Arial" w:cs="Arial"/>
          <w:szCs w:val="22"/>
        </w:rPr>
        <w:t>A review of the responses to the consultation, including considerations behind the choice of notional council tax level in the resources adjustment; and</w:t>
      </w:r>
    </w:p>
    <w:p w14:paraId="1872FF32" w14:textId="77777777" w:rsidR="00661D83" w:rsidRPr="00195DE1" w:rsidRDefault="00661D83" w:rsidP="009A38F9">
      <w:pPr>
        <w:pStyle w:val="ListParagraph"/>
        <w:ind w:left="993" w:hanging="633"/>
        <w:rPr>
          <w:rFonts w:ascii="Arial" w:hAnsi="Arial" w:cs="Arial"/>
          <w:szCs w:val="22"/>
        </w:rPr>
      </w:pPr>
    </w:p>
    <w:p w14:paraId="026F43AC" w14:textId="286BBD7B" w:rsidR="006F5A0F" w:rsidRPr="00195DE1" w:rsidRDefault="006F5A0F" w:rsidP="009A38F9">
      <w:pPr>
        <w:pStyle w:val="ListParagraph"/>
        <w:numPr>
          <w:ilvl w:val="1"/>
          <w:numId w:val="1"/>
        </w:numPr>
        <w:ind w:left="993" w:hanging="633"/>
        <w:rPr>
          <w:rFonts w:ascii="Arial" w:hAnsi="Arial" w:cs="Arial"/>
          <w:szCs w:val="22"/>
        </w:rPr>
      </w:pPr>
      <w:r w:rsidRPr="00195DE1">
        <w:rPr>
          <w:rFonts w:ascii="Arial" w:hAnsi="Arial" w:cs="Arial"/>
          <w:szCs w:val="22"/>
        </w:rPr>
        <w:t xml:space="preserve">A more detailed consideration of various options on transition mechanisms. </w:t>
      </w:r>
    </w:p>
    <w:p w14:paraId="2E9396DE" w14:textId="77777777" w:rsidR="0035643B" w:rsidRPr="00195DE1" w:rsidRDefault="0035643B" w:rsidP="0035643B">
      <w:pPr>
        <w:rPr>
          <w:rFonts w:ascii="Arial" w:hAnsi="Arial" w:cs="Arial"/>
          <w:b/>
          <w:szCs w:val="22"/>
        </w:rPr>
      </w:pPr>
    </w:p>
    <w:p w14:paraId="65F59854" w14:textId="77777777" w:rsidR="0035643B" w:rsidRPr="00195DE1" w:rsidRDefault="0035643B" w:rsidP="0035643B">
      <w:pPr>
        <w:rPr>
          <w:rFonts w:ascii="Arial" w:hAnsi="Arial" w:cs="Arial"/>
          <w:szCs w:val="22"/>
          <w:u w:val="single"/>
        </w:rPr>
      </w:pPr>
      <w:r w:rsidRPr="00195DE1">
        <w:rPr>
          <w:rFonts w:ascii="Arial" w:hAnsi="Arial" w:cs="Arial"/>
          <w:szCs w:val="22"/>
          <w:u w:val="single"/>
        </w:rPr>
        <w:t>The Government’s next steps for the Fair Funding Review</w:t>
      </w:r>
    </w:p>
    <w:p w14:paraId="4FF6C2DD" w14:textId="77777777" w:rsidR="0035643B" w:rsidRPr="00195DE1" w:rsidRDefault="0035643B" w:rsidP="0035643B">
      <w:pPr>
        <w:rPr>
          <w:rFonts w:ascii="Arial" w:hAnsi="Arial" w:cs="Arial"/>
          <w:szCs w:val="22"/>
          <w:u w:val="single"/>
        </w:rPr>
      </w:pPr>
    </w:p>
    <w:p w14:paraId="19E1BE89" w14:textId="6C05BBBB" w:rsidR="0035643B" w:rsidRPr="00195DE1" w:rsidRDefault="0035643B" w:rsidP="0035643B">
      <w:pPr>
        <w:pStyle w:val="ListParagraph"/>
        <w:numPr>
          <w:ilvl w:val="0"/>
          <w:numId w:val="1"/>
        </w:numPr>
        <w:rPr>
          <w:rFonts w:ascii="Arial" w:hAnsi="Arial" w:cs="Arial"/>
          <w:szCs w:val="22"/>
        </w:rPr>
      </w:pPr>
      <w:r w:rsidRPr="00195DE1">
        <w:rPr>
          <w:rFonts w:ascii="Arial" w:hAnsi="Arial" w:cs="Arial"/>
          <w:szCs w:val="22"/>
        </w:rPr>
        <w:t>The Government’s work is building towards a wider consulta</w:t>
      </w:r>
      <w:r w:rsidR="00087055">
        <w:rPr>
          <w:rFonts w:ascii="Arial" w:hAnsi="Arial" w:cs="Arial"/>
          <w:szCs w:val="22"/>
        </w:rPr>
        <w:t>tion on the Fair Funding Review</w:t>
      </w:r>
      <w:r w:rsidRPr="00195DE1">
        <w:rPr>
          <w:rFonts w:ascii="Arial" w:hAnsi="Arial" w:cs="Arial"/>
          <w:szCs w:val="22"/>
        </w:rPr>
        <w:t xml:space="preserve">. Government officials have elaborated on the issues the consultation might explore as part of papers to the July 2018 officer-led Steering Group. </w:t>
      </w:r>
    </w:p>
    <w:p w14:paraId="04575674" w14:textId="77777777" w:rsidR="0035643B" w:rsidRPr="00195DE1" w:rsidRDefault="0035643B" w:rsidP="0035643B">
      <w:pPr>
        <w:pStyle w:val="ListParagraph"/>
        <w:ind w:left="360"/>
        <w:rPr>
          <w:rFonts w:ascii="Arial" w:hAnsi="Arial" w:cs="Arial"/>
          <w:szCs w:val="22"/>
        </w:rPr>
      </w:pPr>
    </w:p>
    <w:p w14:paraId="259C5AF6" w14:textId="77777777" w:rsidR="0035643B" w:rsidRPr="00195DE1" w:rsidRDefault="0035643B" w:rsidP="0035643B">
      <w:pPr>
        <w:pStyle w:val="ListParagraph"/>
        <w:numPr>
          <w:ilvl w:val="0"/>
          <w:numId w:val="1"/>
        </w:numPr>
        <w:rPr>
          <w:rFonts w:ascii="Arial" w:hAnsi="Arial" w:cs="Arial"/>
          <w:szCs w:val="22"/>
        </w:rPr>
      </w:pPr>
      <w:r w:rsidRPr="00195DE1">
        <w:rPr>
          <w:rFonts w:ascii="Arial" w:hAnsi="Arial" w:cs="Arial"/>
          <w:szCs w:val="22"/>
        </w:rPr>
        <w:t>The following is subject to Ministerial decision on the scope of the consultation, including the extent to which the Government would identify preferred options at this stage.</w:t>
      </w:r>
    </w:p>
    <w:p w14:paraId="7A5A5965" w14:textId="77777777" w:rsidR="0035643B" w:rsidRPr="00195DE1" w:rsidRDefault="0035643B" w:rsidP="0035643B">
      <w:pPr>
        <w:pStyle w:val="ListParagraph"/>
        <w:ind w:left="360"/>
        <w:rPr>
          <w:rFonts w:ascii="Arial" w:hAnsi="Arial" w:cs="Arial"/>
          <w:szCs w:val="22"/>
        </w:rPr>
      </w:pPr>
    </w:p>
    <w:p w14:paraId="77246336" w14:textId="163D06C3" w:rsidR="0035643B" w:rsidRPr="00195DE1" w:rsidRDefault="0035643B" w:rsidP="0035643B">
      <w:pPr>
        <w:pStyle w:val="ListParagraph"/>
        <w:numPr>
          <w:ilvl w:val="0"/>
          <w:numId w:val="1"/>
        </w:numPr>
        <w:rPr>
          <w:rFonts w:ascii="Arial" w:hAnsi="Arial" w:cs="Arial"/>
          <w:szCs w:val="22"/>
        </w:rPr>
      </w:pPr>
      <w:r w:rsidRPr="00195DE1">
        <w:rPr>
          <w:rFonts w:ascii="Arial" w:hAnsi="Arial" w:cs="Arial"/>
          <w:szCs w:val="22"/>
        </w:rPr>
        <w:t>On the relative needs assessment, the consultation might cover</w:t>
      </w:r>
      <w:r w:rsidR="00117323" w:rsidRPr="00195DE1">
        <w:rPr>
          <w:rFonts w:ascii="Arial" w:hAnsi="Arial" w:cs="Arial"/>
          <w:szCs w:val="22"/>
        </w:rPr>
        <w:t>:</w:t>
      </w:r>
    </w:p>
    <w:p w14:paraId="49FF01A2" w14:textId="77777777" w:rsidR="0035643B" w:rsidRPr="00195DE1" w:rsidRDefault="0035643B" w:rsidP="0035643B">
      <w:pPr>
        <w:pStyle w:val="ListParagraph"/>
        <w:rPr>
          <w:rFonts w:ascii="Arial" w:hAnsi="Arial" w:cs="Arial"/>
          <w:szCs w:val="22"/>
        </w:rPr>
      </w:pPr>
    </w:p>
    <w:p w14:paraId="56EE76CC" w14:textId="117269F4" w:rsidR="0035643B" w:rsidRPr="00195DE1" w:rsidRDefault="0035643B" w:rsidP="009A38F9">
      <w:pPr>
        <w:pStyle w:val="ListParagraph"/>
        <w:numPr>
          <w:ilvl w:val="1"/>
          <w:numId w:val="1"/>
        </w:numPr>
        <w:spacing w:after="160" w:line="276" w:lineRule="auto"/>
        <w:ind w:left="993" w:hanging="633"/>
        <w:contextualSpacing/>
        <w:rPr>
          <w:rFonts w:ascii="Arial" w:hAnsi="Arial" w:cs="Arial"/>
          <w:szCs w:val="22"/>
        </w:rPr>
      </w:pPr>
      <w:r w:rsidRPr="00195DE1">
        <w:rPr>
          <w:rFonts w:ascii="Arial" w:hAnsi="Arial" w:cs="Arial"/>
          <w:szCs w:val="22"/>
        </w:rPr>
        <w:t>The structure of the assessment, including options for tier-specific foundation formulas and formulas to assess specific services. The Government might express a preferred option on this.</w:t>
      </w:r>
    </w:p>
    <w:p w14:paraId="15504CE0" w14:textId="77777777" w:rsidR="0035643B" w:rsidRPr="00195DE1" w:rsidRDefault="0035643B" w:rsidP="009A38F9">
      <w:pPr>
        <w:pStyle w:val="ListParagraph"/>
        <w:ind w:left="993" w:hanging="633"/>
        <w:rPr>
          <w:rFonts w:ascii="Arial" w:hAnsi="Arial" w:cs="Arial"/>
          <w:szCs w:val="22"/>
        </w:rPr>
      </w:pPr>
    </w:p>
    <w:p w14:paraId="44A1DBE8" w14:textId="6D57704F" w:rsidR="0035643B" w:rsidRPr="00195DE1" w:rsidRDefault="0035643B" w:rsidP="009A38F9">
      <w:pPr>
        <w:pStyle w:val="ListParagraph"/>
        <w:numPr>
          <w:ilvl w:val="1"/>
          <w:numId w:val="1"/>
        </w:numPr>
        <w:spacing w:after="160" w:line="276" w:lineRule="auto"/>
        <w:ind w:left="993" w:hanging="633"/>
        <w:contextualSpacing/>
        <w:rPr>
          <w:rFonts w:ascii="Arial" w:hAnsi="Arial" w:cs="Arial"/>
          <w:szCs w:val="22"/>
        </w:rPr>
      </w:pPr>
      <w:r w:rsidRPr="00195DE1">
        <w:rPr>
          <w:rFonts w:ascii="Arial" w:hAnsi="Arial" w:cs="Arial"/>
          <w:szCs w:val="22"/>
        </w:rPr>
        <w:t>The leading cost drivers for inclusion in the above, and a description of proposed analytical techniques to weight them against one another</w:t>
      </w:r>
      <w:r w:rsidR="00117323" w:rsidRPr="00195DE1">
        <w:rPr>
          <w:rFonts w:ascii="Arial" w:hAnsi="Arial" w:cs="Arial"/>
          <w:szCs w:val="22"/>
        </w:rPr>
        <w:t>;</w:t>
      </w:r>
    </w:p>
    <w:p w14:paraId="107E2568" w14:textId="77777777" w:rsidR="0035643B" w:rsidRPr="00195DE1" w:rsidRDefault="0035643B" w:rsidP="009A38F9">
      <w:pPr>
        <w:pStyle w:val="ListParagraph"/>
        <w:ind w:left="993" w:hanging="633"/>
        <w:rPr>
          <w:rFonts w:ascii="Arial" w:hAnsi="Arial" w:cs="Arial"/>
          <w:szCs w:val="22"/>
        </w:rPr>
      </w:pPr>
    </w:p>
    <w:p w14:paraId="526DBD41" w14:textId="77777777" w:rsidR="0035643B" w:rsidRPr="00195DE1" w:rsidRDefault="0035643B" w:rsidP="009A38F9">
      <w:pPr>
        <w:pStyle w:val="ListParagraph"/>
        <w:numPr>
          <w:ilvl w:val="1"/>
          <w:numId w:val="1"/>
        </w:numPr>
        <w:spacing w:after="160" w:line="276" w:lineRule="auto"/>
        <w:ind w:left="993" w:hanging="633"/>
        <w:contextualSpacing/>
        <w:rPr>
          <w:rFonts w:ascii="Arial" w:hAnsi="Arial" w:cs="Arial"/>
          <w:szCs w:val="22"/>
        </w:rPr>
      </w:pPr>
      <w:r w:rsidRPr="00195DE1">
        <w:rPr>
          <w:rFonts w:ascii="Arial" w:hAnsi="Arial" w:cs="Arial"/>
          <w:szCs w:val="22"/>
        </w:rPr>
        <w:t>Commentary on the area cost adjustment.</w:t>
      </w:r>
    </w:p>
    <w:p w14:paraId="57024279" w14:textId="77777777" w:rsidR="0035643B" w:rsidRPr="00195DE1" w:rsidRDefault="0035643B" w:rsidP="0035643B">
      <w:pPr>
        <w:pStyle w:val="ListParagraph"/>
        <w:rPr>
          <w:rFonts w:ascii="Arial" w:hAnsi="Arial" w:cs="Arial"/>
          <w:szCs w:val="22"/>
        </w:rPr>
      </w:pPr>
    </w:p>
    <w:p w14:paraId="0CBD1053" w14:textId="77777777" w:rsidR="0035643B" w:rsidRPr="00195DE1" w:rsidRDefault="0035643B" w:rsidP="0035643B">
      <w:pPr>
        <w:pStyle w:val="ListParagraph"/>
        <w:numPr>
          <w:ilvl w:val="0"/>
          <w:numId w:val="1"/>
        </w:numPr>
        <w:rPr>
          <w:rFonts w:ascii="Arial" w:hAnsi="Arial" w:cs="Arial"/>
          <w:szCs w:val="22"/>
        </w:rPr>
      </w:pPr>
      <w:r w:rsidRPr="00195DE1">
        <w:rPr>
          <w:rFonts w:ascii="Arial" w:hAnsi="Arial" w:cs="Arial"/>
          <w:szCs w:val="22"/>
        </w:rPr>
        <w:t>On the relative resources assessment, the consultation might cover high level approaches to:</w:t>
      </w:r>
    </w:p>
    <w:p w14:paraId="4C27F700" w14:textId="77777777" w:rsidR="0035643B" w:rsidRPr="00195DE1" w:rsidRDefault="0035643B" w:rsidP="0035643B">
      <w:pPr>
        <w:pStyle w:val="ListParagraph"/>
        <w:ind w:left="360"/>
        <w:rPr>
          <w:rFonts w:ascii="Arial" w:hAnsi="Arial" w:cs="Arial"/>
          <w:szCs w:val="22"/>
        </w:rPr>
      </w:pPr>
    </w:p>
    <w:p w14:paraId="343B9357" w14:textId="77777777" w:rsidR="0035643B" w:rsidRPr="00195DE1" w:rsidRDefault="0035643B" w:rsidP="009A38F9">
      <w:pPr>
        <w:pStyle w:val="ListParagraph"/>
        <w:numPr>
          <w:ilvl w:val="1"/>
          <w:numId w:val="1"/>
        </w:numPr>
        <w:ind w:left="993" w:hanging="633"/>
        <w:rPr>
          <w:rFonts w:ascii="Arial" w:hAnsi="Arial" w:cs="Arial"/>
          <w:szCs w:val="22"/>
        </w:rPr>
      </w:pPr>
      <w:r w:rsidRPr="00195DE1">
        <w:rPr>
          <w:rFonts w:ascii="Arial" w:hAnsi="Arial" w:cs="Arial"/>
          <w:szCs w:val="22"/>
        </w:rPr>
        <w:t>Measuring the council tax base, in particular treatment of mandatory and discretionary council tax discounts. This includes local council tax support schemes;</w:t>
      </w:r>
    </w:p>
    <w:p w14:paraId="6C90505D" w14:textId="77777777" w:rsidR="0035643B" w:rsidRPr="00195DE1" w:rsidRDefault="0035643B" w:rsidP="009A38F9">
      <w:pPr>
        <w:pStyle w:val="ListParagraph"/>
        <w:ind w:left="993" w:hanging="633"/>
        <w:rPr>
          <w:rFonts w:ascii="Arial" w:hAnsi="Arial" w:cs="Arial"/>
          <w:szCs w:val="22"/>
        </w:rPr>
      </w:pPr>
    </w:p>
    <w:p w14:paraId="7767DEDE" w14:textId="4E7C6928" w:rsidR="0035643B" w:rsidRPr="00195DE1" w:rsidRDefault="0035643B" w:rsidP="009A38F9">
      <w:pPr>
        <w:pStyle w:val="ListParagraph"/>
        <w:numPr>
          <w:ilvl w:val="1"/>
          <w:numId w:val="1"/>
        </w:numPr>
        <w:ind w:left="993" w:hanging="633"/>
        <w:rPr>
          <w:rFonts w:ascii="Arial" w:hAnsi="Arial" w:cs="Arial"/>
          <w:szCs w:val="22"/>
        </w:rPr>
      </w:pPr>
      <w:r w:rsidRPr="00195DE1">
        <w:rPr>
          <w:rFonts w:ascii="Arial" w:hAnsi="Arial" w:cs="Arial"/>
          <w:szCs w:val="22"/>
        </w:rPr>
        <w:t>The choice of notional or actual council tax levels to be used when calculating the adjustment</w:t>
      </w:r>
      <w:r w:rsidR="00117323" w:rsidRPr="00195DE1">
        <w:rPr>
          <w:rFonts w:ascii="Arial" w:hAnsi="Arial" w:cs="Arial"/>
          <w:szCs w:val="22"/>
        </w:rPr>
        <w:t>;</w:t>
      </w:r>
    </w:p>
    <w:p w14:paraId="66DDD7D1" w14:textId="77777777" w:rsidR="0035643B" w:rsidRPr="00195DE1" w:rsidRDefault="0035643B" w:rsidP="009A38F9">
      <w:pPr>
        <w:pStyle w:val="ListParagraph"/>
        <w:ind w:left="993" w:hanging="633"/>
        <w:rPr>
          <w:rFonts w:ascii="Arial" w:hAnsi="Arial" w:cs="Arial"/>
          <w:szCs w:val="22"/>
        </w:rPr>
      </w:pPr>
    </w:p>
    <w:p w14:paraId="67AD5FCA" w14:textId="77777777" w:rsidR="0035643B" w:rsidRPr="00195DE1" w:rsidRDefault="0035643B" w:rsidP="009A38F9">
      <w:pPr>
        <w:pStyle w:val="ListParagraph"/>
        <w:numPr>
          <w:ilvl w:val="1"/>
          <w:numId w:val="1"/>
        </w:numPr>
        <w:ind w:left="993" w:hanging="633"/>
        <w:rPr>
          <w:rFonts w:ascii="Arial" w:hAnsi="Arial" w:cs="Arial"/>
          <w:szCs w:val="22"/>
        </w:rPr>
      </w:pPr>
      <w:r w:rsidRPr="00195DE1">
        <w:rPr>
          <w:rFonts w:ascii="Arial" w:hAnsi="Arial" w:cs="Arial"/>
          <w:szCs w:val="22"/>
        </w:rPr>
        <w:t>Treatment of other income, such as sales, fees and charges.</w:t>
      </w:r>
    </w:p>
    <w:p w14:paraId="0140B3AF" w14:textId="77777777" w:rsidR="0035643B" w:rsidRPr="00195DE1" w:rsidRDefault="0035643B" w:rsidP="0035643B">
      <w:pPr>
        <w:pStyle w:val="ListParagraph"/>
        <w:ind w:left="360"/>
        <w:rPr>
          <w:rFonts w:ascii="Arial" w:hAnsi="Arial" w:cs="Arial"/>
          <w:szCs w:val="22"/>
        </w:rPr>
      </w:pPr>
    </w:p>
    <w:p w14:paraId="2A39F83F" w14:textId="77777777" w:rsidR="0035643B" w:rsidRPr="00195DE1" w:rsidRDefault="0035643B" w:rsidP="0035643B">
      <w:pPr>
        <w:pStyle w:val="ListParagraph"/>
        <w:numPr>
          <w:ilvl w:val="0"/>
          <w:numId w:val="1"/>
        </w:numPr>
        <w:rPr>
          <w:rFonts w:ascii="Arial" w:hAnsi="Arial" w:cs="Arial"/>
          <w:szCs w:val="22"/>
        </w:rPr>
      </w:pPr>
      <w:r w:rsidRPr="00195DE1">
        <w:rPr>
          <w:rFonts w:ascii="Arial" w:hAnsi="Arial" w:cs="Arial"/>
          <w:szCs w:val="22"/>
        </w:rPr>
        <w:lastRenderedPageBreak/>
        <w:t>On transition, the consultation might cover:</w:t>
      </w:r>
    </w:p>
    <w:p w14:paraId="0CF56128" w14:textId="77777777" w:rsidR="0035643B" w:rsidRPr="00195DE1" w:rsidRDefault="0035643B" w:rsidP="0035643B">
      <w:pPr>
        <w:pStyle w:val="ListParagraph"/>
        <w:ind w:left="792"/>
        <w:rPr>
          <w:rFonts w:ascii="Arial" w:hAnsi="Arial" w:cs="Arial"/>
          <w:szCs w:val="22"/>
        </w:rPr>
      </w:pPr>
    </w:p>
    <w:p w14:paraId="3C9CF976" w14:textId="77777777" w:rsidR="0035643B" w:rsidRPr="00195DE1" w:rsidRDefault="0035643B" w:rsidP="009A38F9">
      <w:pPr>
        <w:pStyle w:val="ListParagraph"/>
        <w:numPr>
          <w:ilvl w:val="1"/>
          <w:numId w:val="1"/>
        </w:numPr>
        <w:ind w:left="993" w:hanging="633"/>
        <w:rPr>
          <w:rFonts w:ascii="Arial" w:hAnsi="Arial" w:cs="Arial"/>
          <w:szCs w:val="22"/>
        </w:rPr>
      </w:pPr>
      <w:r w:rsidRPr="00195DE1">
        <w:rPr>
          <w:rFonts w:ascii="Arial" w:hAnsi="Arial" w:cs="Arial"/>
          <w:szCs w:val="22"/>
        </w:rPr>
        <w:t>High level principles that could underpin the choices of transition mechanism, such as stability, speed, transparency and time limits;</w:t>
      </w:r>
    </w:p>
    <w:p w14:paraId="6D1AEF5B" w14:textId="77777777" w:rsidR="0035643B" w:rsidRPr="00195DE1" w:rsidRDefault="0035643B" w:rsidP="009A38F9">
      <w:pPr>
        <w:pStyle w:val="ListParagraph"/>
        <w:ind w:left="993" w:hanging="633"/>
        <w:rPr>
          <w:rFonts w:ascii="Arial" w:hAnsi="Arial" w:cs="Arial"/>
          <w:szCs w:val="22"/>
        </w:rPr>
      </w:pPr>
    </w:p>
    <w:p w14:paraId="3D5D6328" w14:textId="77777777" w:rsidR="0035643B" w:rsidRPr="00195DE1" w:rsidRDefault="0035643B" w:rsidP="009A38F9">
      <w:pPr>
        <w:pStyle w:val="ListParagraph"/>
        <w:numPr>
          <w:ilvl w:val="1"/>
          <w:numId w:val="1"/>
        </w:numPr>
        <w:ind w:left="993" w:hanging="633"/>
        <w:rPr>
          <w:rFonts w:ascii="Arial" w:hAnsi="Arial" w:cs="Arial"/>
          <w:szCs w:val="22"/>
        </w:rPr>
      </w:pPr>
      <w:r w:rsidRPr="00195DE1">
        <w:rPr>
          <w:rFonts w:ascii="Arial" w:hAnsi="Arial" w:cs="Arial"/>
          <w:szCs w:val="22"/>
        </w:rPr>
        <w:t>The definition and measurement of ‘baseline’ and ‘target’ between which the transition mechanism would be applied to.</w:t>
      </w:r>
    </w:p>
    <w:p w14:paraId="42B1BAFD" w14:textId="77777777" w:rsidR="0035643B" w:rsidRPr="00195DE1" w:rsidRDefault="0035643B" w:rsidP="0035643B">
      <w:pPr>
        <w:pStyle w:val="ListParagraph"/>
        <w:ind w:left="360"/>
        <w:rPr>
          <w:rFonts w:ascii="Arial" w:hAnsi="Arial" w:cs="Arial"/>
          <w:szCs w:val="22"/>
        </w:rPr>
      </w:pPr>
    </w:p>
    <w:p w14:paraId="2C453CB8" w14:textId="4BDEDA5F" w:rsidR="00F83D41" w:rsidRPr="00195DE1" w:rsidRDefault="0035643B" w:rsidP="0035643B">
      <w:pPr>
        <w:pStyle w:val="ListParagraph"/>
        <w:numPr>
          <w:ilvl w:val="0"/>
          <w:numId w:val="1"/>
        </w:numPr>
        <w:rPr>
          <w:rFonts w:ascii="Arial" w:hAnsi="Arial" w:cs="Arial"/>
          <w:szCs w:val="22"/>
        </w:rPr>
      </w:pPr>
      <w:r w:rsidRPr="00195DE1">
        <w:rPr>
          <w:rFonts w:ascii="Arial" w:hAnsi="Arial" w:cs="Arial"/>
          <w:szCs w:val="22"/>
        </w:rPr>
        <w:t>This is in line with the LGA’s work programme on the Fair Funding Review, with the core LGA work programme and meetings of the Business Rates Retention and Fair Funding Review Task and Finish Group all helping explore policy options ahead of the publication of the consultation document.</w:t>
      </w:r>
    </w:p>
    <w:p w14:paraId="16B17BE2" w14:textId="77777777" w:rsidR="00661D83" w:rsidRPr="00195DE1" w:rsidRDefault="00661D83" w:rsidP="00661D83">
      <w:pPr>
        <w:pStyle w:val="ListParagraph"/>
        <w:ind w:left="360"/>
        <w:rPr>
          <w:rFonts w:ascii="Arial" w:hAnsi="Arial" w:cs="Arial"/>
          <w:szCs w:val="22"/>
        </w:rPr>
      </w:pPr>
    </w:p>
    <w:p w14:paraId="165BF56D" w14:textId="6EA2543E" w:rsidR="00661D83" w:rsidRPr="00195DE1" w:rsidRDefault="00661D83" w:rsidP="00661D83">
      <w:pPr>
        <w:pStyle w:val="ListParagraph"/>
        <w:numPr>
          <w:ilvl w:val="0"/>
          <w:numId w:val="1"/>
        </w:numPr>
        <w:rPr>
          <w:rFonts w:ascii="Arial" w:hAnsi="Arial" w:cs="Arial"/>
          <w:szCs w:val="22"/>
        </w:rPr>
      </w:pPr>
      <w:r w:rsidRPr="00195DE1">
        <w:rPr>
          <w:rFonts w:ascii="Arial" w:hAnsi="Arial" w:cs="Arial"/>
          <w:szCs w:val="22"/>
        </w:rPr>
        <w:t xml:space="preserve">Once the consultation is published, officers are planning to coordinate another set of MHCLG/LGA regional consultation events. Due to the timing of the consultation and the local government finance settlement, it might be the case that there are fewer but larger events organised than the previous model of </w:t>
      </w:r>
      <w:r w:rsidR="00195DE1" w:rsidRPr="00195DE1">
        <w:rPr>
          <w:rFonts w:ascii="Arial" w:hAnsi="Arial" w:cs="Arial"/>
          <w:szCs w:val="22"/>
        </w:rPr>
        <w:t>six</w:t>
      </w:r>
      <w:r w:rsidRPr="00195DE1">
        <w:rPr>
          <w:rFonts w:ascii="Arial" w:hAnsi="Arial" w:cs="Arial"/>
          <w:szCs w:val="22"/>
        </w:rPr>
        <w:t xml:space="preserve"> smaller events.</w:t>
      </w:r>
    </w:p>
    <w:p w14:paraId="00385AE2" w14:textId="77777777" w:rsidR="00661D83" w:rsidRPr="006F5A0F" w:rsidRDefault="00661D83" w:rsidP="00195DE1">
      <w:pPr>
        <w:pStyle w:val="ListParagraph"/>
        <w:ind w:left="360"/>
        <w:rPr>
          <w:rFonts w:ascii="Arial" w:hAnsi="Arial" w:cs="Arial"/>
          <w:szCs w:val="22"/>
          <w:highlight w:val="yellow"/>
        </w:rPr>
      </w:pPr>
    </w:p>
    <w:p w14:paraId="528B9D17" w14:textId="3B876DEE" w:rsidR="00766459" w:rsidRPr="001054EB" w:rsidRDefault="00EC7ED0">
      <w:pPr>
        <w:rPr>
          <w:rFonts w:ascii="Arial" w:hAnsi="Arial" w:cs="Arial"/>
          <w:b/>
        </w:rPr>
      </w:pPr>
      <w:r w:rsidRPr="001054EB">
        <w:rPr>
          <w:rFonts w:ascii="Arial" w:hAnsi="Arial" w:cs="Arial"/>
          <w:b/>
        </w:rPr>
        <w:t>Business Rates R</w:t>
      </w:r>
      <w:r w:rsidR="00766459" w:rsidRPr="001054EB">
        <w:rPr>
          <w:rFonts w:ascii="Arial" w:hAnsi="Arial" w:cs="Arial"/>
          <w:b/>
        </w:rPr>
        <w:t>etention</w:t>
      </w:r>
    </w:p>
    <w:p w14:paraId="3FF5ACA1" w14:textId="091CE27A" w:rsidR="00935031" w:rsidRPr="001054EB" w:rsidRDefault="00935031" w:rsidP="00720BE8">
      <w:pPr>
        <w:rPr>
          <w:rFonts w:ascii="Arial" w:hAnsi="Arial" w:cs="Arial"/>
          <w:b/>
          <w:bCs/>
        </w:rPr>
      </w:pPr>
    </w:p>
    <w:p w14:paraId="2606BC95" w14:textId="6EE83A4B" w:rsidR="00FB5BE3" w:rsidRPr="001054EB" w:rsidRDefault="00C10852">
      <w:pPr>
        <w:rPr>
          <w:rFonts w:ascii="Arial" w:hAnsi="Arial" w:cs="Arial"/>
          <w:u w:val="single"/>
        </w:rPr>
      </w:pPr>
      <w:r w:rsidRPr="001054EB">
        <w:rPr>
          <w:rFonts w:ascii="Arial" w:hAnsi="Arial" w:cs="Arial"/>
          <w:u w:val="single"/>
        </w:rPr>
        <w:t>Business Rates Retention model</w:t>
      </w:r>
    </w:p>
    <w:p w14:paraId="6B7D5B05" w14:textId="6BEF792D" w:rsidR="00FB5BE3" w:rsidRPr="001054EB" w:rsidRDefault="00FB5BE3" w:rsidP="00FB5BE3">
      <w:pPr>
        <w:rPr>
          <w:rFonts w:ascii="Arial" w:hAnsi="Arial" w:cs="Arial"/>
          <w:bCs/>
          <w:u w:val="single"/>
        </w:rPr>
      </w:pPr>
    </w:p>
    <w:p w14:paraId="4319C62D" w14:textId="359C96C8" w:rsidR="00FB5BE3" w:rsidRPr="001054EB" w:rsidRDefault="00044788" w:rsidP="00044788">
      <w:pPr>
        <w:pStyle w:val="ListParagraph"/>
        <w:numPr>
          <w:ilvl w:val="0"/>
          <w:numId w:val="1"/>
        </w:numPr>
        <w:rPr>
          <w:rFonts w:ascii="Arial" w:hAnsi="Arial" w:cs="Arial"/>
          <w:szCs w:val="22"/>
        </w:rPr>
      </w:pPr>
      <w:r w:rsidRPr="001054EB">
        <w:rPr>
          <w:rFonts w:ascii="Arial" w:hAnsi="Arial" w:cs="Arial"/>
          <w:szCs w:val="22"/>
        </w:rPr>
        <w:t xml:space="preserve">In </w:t>
      </w:r>
      <w:r w:rsidR="00FB5BE3" w:rsidRPr="001054EB">
        <w:rPr>
          <w:rFonts w:ascii="Arial" w:hAnsi="Arial" w:cs="Arial"/>
          <w:szCs w:val="22"/>
        </w:rPr>
        <w:t>April</w:t>
      </w:r>
      <w:r w:rsidRPr="001054EB">
        <w:rPr>
          <w:rFonts w:ascii="Arial" w:hAnsi="Arial" w:cs="Arial"/>
          <w:szCs w:val="22"/>
        </w:rPr>
        <w:t xml:space="preserve"> Leadership Board agreed to the LGA </w:t>
      </w:r>
      <w:r w:rsidR="000904FA" w:rsidRPr="001054EB">
        <w:rPr>
          <w:rFonts w:ascii="Arial" w:hAnsi="Arial" w:cs="Arial"/>
          <w:szCs w:val="22"/>
        </w:rPr>
        <w:t>commissioning</w:t>
      </w:r>
      <w:r w:rsidR="00FB5BE3" w:rsidRPr="001054EB">
        <w:rPr>
          <w:rFonts w:ascii="Arial" w:hAnsi="Arial" w:cs="Arial"/>
          <w:szCs w:val="22"/>
        </w:rPr>
        <w:t xml:space="preserve"> a business </w:t>
      </w:r>
      <w:r w:rsidRPr="001054EB">
        <w:rPr>
          <w:rFonts w:ascii="Arial" w:hAnsi="Arial" w:cs="Arial"/>
          <w:szCs w:val="22"/>
        </w:rPr>
        <w:t xml:space="preserve">rates retention model to enable </w:t>
      </w:r>
      <w:r w:rsidR="00FB5BE3" w:rsidRPr="001054EB">
        <w:rPr>
          <w:rFonts w:ascii="Arial" w:hAnsi="Arial" w:cs="Arial"/>
          <w:szCs w:val="22"/>
        </w:rPr>
        <w:t>the effect of possib</w:t>
      </w:r>
      <w:r w:rsidRPr="001054EB">
        <w:rPr>
          <w:rFonts w:ascii="Arial" w:hAnsi="Arial" w:cs="Arial"/>
          <w:szCs w:val="22"/>
        </w:rPr>
        <w:t xml:space="preserve">le systems design changes to be estimated.  Following a tendering exercise </w:t>
      </w:r>
      <w:proofErr w:type="spellStart"/>
      <w:r w:rsidR="00FB5BE3" w:rsidRPr="001054EB">
        <w:rPr>
          <w:rFonts w:ascii="Arial" w:hAnsi="Arial" w:cs="Arial"/>
          <w:szCs w:val="22"/>
        </w:rPr>
        <w:t>LGFutures</w:t>
      </w:r>
      <w:proofErr w:type="spellEnd"/>
      <w:r w:rsidRPr="001054EB">
        <w:rPr>
          <w:rFonts w:ascii="Arial" w:hAnsi="Arial" w:cs="Arial"/>
          <w:szCs w:val="22"/>
        </w:rPr>
        <w:t xml:space="preserve"> </w:t>
      </w:r>
      <w:r w:rsidR="00FB5BE3" w:rsidRPr="001054EB">
        <w:rPr>
          <w:rFonts w:ascii="Arial" w:hAnsi="Arial" w:cs="Arial"/>
          <w:szCs w:val="22"/>
        </w:rPr>
        <w:t xml:space="preserve">were commissioned to produce the model. </w:t>
      </w:r>
      <w:r w:rsidR="001054EB" w:rsidRPr="001054EB">
        <w:rPr>
          <w:rFonts w:ascii="Arial" w:hAnsi="Arial" w:cs="Arial"/>
          <w:szCs w:val="22"/>
        </w:rPr>
        <w:t xml:space="preserve">Following demonstrations to the </w:t>
      </w:r>
      <w:r w:rsidR="00FB5BE3" w:rsidRPr="001054EB">
        <w:rPr>
          <w:rFonts w:ascii="Arial" w:hAnsi="Arial" w:cs="Arial"/>
          <w:szCs w:val="22"/>
        </w:rPr>
        <w:t>Business Rates Retention Task and Finish Group on 12 September</w:t>
      </w:r>
      <w:r w:rsidR="001054EB" w:rsidRPr="001054EB">
        <w:rPr>
          <w:rFonts w:ascii="Arial" w:hAnsi="Arial" w:cs="Arial"/>
          <w:szCs w:val="22"/>
        </w:rPr>
        <w:t xml:space="preserve">, the Chairman and Group Leaders signed off the model which is now on the </w:t>
      </w:r>
      <w:hyperlink r:id="rId21" w:history="1">
        <w:r w:rsidR="001054EB" w:rsidRPr="001054EB">
          <w:rPr>
            <w:rStyle w:val="Hyperlink"/>
            <w:rFonts w:ascii="Arial" w:hAnsi="Arial" w:cs="Arial"/>
            <w:szCs w:val="22"/>
          </w:rPr>
          <w:t>LGA website</w:t>
        </w:r>
      </w:hyperlink>
      <w:r w:rsidR="001054EB" w:rsidRPr="001054EB">
        <w:rPr>
          <w:rFonts w:ascii="Arial" w:hAnsi="Arial" w:cs="Arial"/>
          <w:szCs w:val="22"/>
        </w:rPr>
        <w:t>. A bulletin was sent out to Chief Finance Officers alerting them to this and an item was included in the weekly bulletins which go to Chief Executives and Leaders.</w:t>
      </w:r>
    </w:p>
    <w:p w14:paraId="773EF14F" w14:textId="77777777" w:rsidR="00FB5BE3" w:rsidRPr="001054EB" w:rsidRDefault="00FB5BE3" w:rsidP="00FB5BE3">
      <w:pPr>
        <w:rPr>
          <w:rFonts w:ascii="Arial" w:hAnsi="Arial" w:cs="Arial"/>
          <w:bCs/>
        </w:rPr>
      </w:pPr>
    </w:p>
    <w:p w14:paraId="15A2A0AA" w14:textId="77777777" w:rsidR="00FB5BE3" w:rsidRPr="005E3470" w:rsidRDefault="00FB5BE3">
      <w:pPr>
        <w:rPr>
          <w:rFonts w:ascii="Arial" w:hAnsi="Arial" w:cs="Arial"/>
          <w:u w:val="single"/>
        </w:rPr>
      </w:pPr>
      <w:r w:rsidRPr="005E3470">
        <w:rPr>
          <w:rFonts w:ascii="Arial" w:hAnsi="Arial" w:cs="Arial"/>
          <w:u w:val="single"/>
        </w:rPr>
        <w:t>2019/20 pilots</w:t>
      </w:r>
    </w:p>
    <w:p w14:paraId="1AFA5F72" w14:textId="77777777" w:rsidR="00FB5BE3" w:rsidRPr="005E3470" w:rsidRDefault="00FB5BE3">
      <w:pPr>
        <w:rPr>
          <w:rFonts w:ascii="Arial" w:hAnsi="Arial" w:cs="Arial"/>
          <w:bCs/>
        </w:rPr>
      </w:pPr>
    </w:p>
    <w:p w14:paraId="2FC94552" w14:textId="03059184" w:rsidR="00B26650" w:rsidRPr="005E3470" w:rsidRDefault="00FB5BE3" w:rsidP="005E3470">
      <w:pPr>
        <w:pStyle w:val="ListParagraph"/>
        <w:numPr>
          <w:ilvl w:val="0"/>
          <w:numId w:val="1"/>
        </w:numPr>
        <w:rPr>
          <w:rFonts w:ascii="Arial" w:hAnsi="Arial" w:cs="Arial"/>
          <w:szCs w:val="22"/>
        </w:rPr>
      </w:pPr>
      <w:r w:rsidRPr="005E3470">
        <w:rPr>
          <w:rFonts w:ascii="Arial" w:hAnsi="Arial" w:cs="Arial"/>
          <w:szCs w:val="22"/>
        </w:rPr>
        <w:t xml:space="preserve">The prospectus inviting areas to bid to become a </w:t>
      </w:r>
      <w:r w:rsidR="001054EB" w:rsidRPr="005E3470">
        <w:rPr>
          <w:rFonts w:ascii="Arial" w:hAnsi="Arial" w:cs="Arial"/>
          <w:szCs w:val="22"/>
        </w:rPr>
        <w:t xml:space="preserve">75 per cent </w:t>
      </w:r>
      <w:r w:rsidRPr="005E3470">
        <w:rPr>
          <w:rFonts w:ascii="Arial" w:hAnsi="Arial" w:cs="Arial"/>
          <w:szCs w:val="22"/>
        </w:rPr>
        <w:t xml:space="preserve">further business rates retention pilot </w:t>
      </w:r>
      <w:r w:rsidR="001054EB" w:rsidRPr="005E3470">
        <w:rPr>
          <w:rFonts w:ascii="Arial" w:hAnsi="Arial" w:cs="Arial"/>
          <w:szCs w:val="22"/>
        </w:rPr>
        <w:t xml:space="preserve">closed on </w:t>
      </w:r>
      <w:r w:rsidRPr="005E3470">
        <w:rPr>
          <w:rFonts w:ascii="Arial" w:hAnsi="Arial" w:cs="Arial"/>
          <w:szCs w:val="22"/>
        </w:rPr>
        <w:t xml:space="preserve">25 September 2018.  </w:t>
      </w:r>
      <w:r w:rsidR="00FC251F">
        <w:rPr>
          <w:rFonts w:ascii="Arial" w:hAnsi="Arial" w:cs="Arial"/>
          <w:szCs w:val="22"/>
        </w:rPr>
        <w:t>T</w:t>
      </w:r>
      <w:r w:rsidRPr="005E3470">
        <w:rPr>
          <w:rFonts w:ascii="Arial" w:hAnsi="Arial" w:cs="Arial"/>
          <w:szCs w:val="22"/>
        </w:rPr>
        <w:t xml:space="preserve">he five 2017/18 devolution pilots will continue at 100 per cent </w:t>
      </w:r>
      <w:r w:rsidR="00FC251F">
        <w:rPr>
          <w:rFonts w:ascii="Arial" w:hAnsi="Arial" w:cs="Arial"/>
          <w:szCs w:val="22"/>
        </w:rPr>
        <w:t xml:space="preserve">in 2019/20 </w:t>
      </w:r>
      <w:r w:rsidRPr="005E3470">
        <w:rPr>
          <w:rFonts w:ascii="Arial" w:hAnsi="Arial" w:cs="Arial"/>
          <w:szCs w:val="22"/>
        </w:rPr>
        <w:t xml:space="preserve">and there will be separate discussions covering London. </w:t>
      </w:r>
      <w:r w:rsidR="00B26650" w:rsidRPr="005E3470">
        <w:rPr>
          <w:rFonts w:ascii="Arial" w:hAnsi="Arial" w:cs="Arial"/>
          <w:szCs w:val="22"/>
        </w:rPr>
        <w:t xml:space="preserve">Non-London </w:t>
      </w:r>
      <w:r w:rsidRPr="005E3470">
        <w:rPr>
          <w:rFonts w:ascii="Arial" w:hAnsi="Arial" w:cs="Arial"/>
          <w:szCs w:val="22"/>
        </w:rPr>
        <w:t xml:space="preserve">2018/19 pilots </w:t>
      </w:r>
      <w:r w:rsidR="005E3470" w:rsidRPr="005E3470">
        <w:rPr>
          <w:rFonts w:ascii="Arial" w:hAnsi="Arial" w:cs="Arial"/>
          <w:szCs w:val="22"/>
        </w:rPr>
        <w:t>had</w:t>
      </w:r>
      <w:r w:rsidRPr="005E3470">
        <w:rPr>
          <w:rFonts w:ascii="Arial" w:hAnsi="Arial" w:cs="Arial"/>
          <w:szCs w:val="22"/>
        </w:rPr>
        <w:t xml:space="preserve"> to reapply if they wish to be a pilot in 2019/20.  Unlike in 2017/18 and 2018/19 there will not be a no-detriment clause.</w:t>
      </w:r>
      <w:r w:rsidR="005E3470" w:rsidRPr="005E3470">
        <w:rPr>
          <w:rFonts w:ascii="Arial" w:hAnsi="Arial" w:cs="Arial"/>
          <w:szCs w:val="22"/>
        </w:rPr>
        <w:t xml:space="preserve"> An announcement is expected at the time of the Local Government Finance Settlement on 6 December.  Any updates will be given to your meeting.</w:t>
      </w:r>
    </w:p>
    <w:p w14:paraId="1B04A210" w14:textId="77777777" w:rsidR="005E3470" w:rsidRPr="005E3470" w:rsidRDefault="005E3470" w:rsidP="005E3470">
      <w:pPr>
        <w:pStyle w:val="ListParagraph"/>
        <w:ind w:left="360"/>
        <w:rPr>
          <w:rFonts w:ascii="Arial" w:hAnsi="Arial" w:cs="Arial"/>
          <w:szCs w:val="22"/>
          <w:highlight w:val="yellow"/>
        </w:rPr>
      </w:pPr>
    </w:p>
    <w:p w14:paraId="64A154EE" w14:textId="75DA2445" w:rsidR="00826D51" w:rsidRPr="001D5D2A" w:rsidRDefault="00826D51">
      <w:pPr>
        <w:rPr>
          <w:rFonts w:ascii="Arial" w:hAnsi="Arial" w:cs="Arial"/>
          <w:szCs w:val="22"/>
          <w:u w:val="single"/>
        </w:rPr>
      </w:pPr>
      <w:r w:rsidRPr="001D5D2A">
        <w:rPr>
          <w:rFonts w:ascii="Arial" w:hAnsi="Arial" w:cs="Arial"/>
          <w:szCs w:val="22"/>
          <w:u w:val="single"/>
        </w:rPr>
        <w:t>Other business rates retention updates</w:t>
      </w:r>
    </w:p>
    <w:p w14:paraId="3AD0C31E" w14:textId="77777777" w:rsidR="00826D51" w:rsidRPr="001D5D2A" w:rsidRDefault="00826D51">
      <w:pPr>
        <w:rPr>
          <w:rFonts w:ascii="Arial" w:hAnsi="Arial" w:cs="Arial"/>
          <w:szCs w:val="22"/>
        </w:rPr>
      </w:pPr>
    </w:p>
    <w:p w14:paraId="13F32E3B" w14:textId="332FD8AB" w:rsidR="009D21ED" w:rsidRPr="001D5D2A" w:rsidRDefault="001A695D" w:rsidP="009D21ED">
      <w:pPr>
        <w:pStyle w:val="ListParagraph"/>
        <w:numPr>
          <w:ilvl w:val="0"/>
          <w:numId w:val="1"/>
        </w:numPr>
        <w:rPr>
          <w:rFonts w:ascii="Arial" w:hAnsi="Arial" w:cs="Arial"/>
          <w:szCs w:val="22"/>
        </w:rPr>
      </w:pPr>
      <w:r w:rsidRPr="001D5D2A">
        <w:rPr>
          <w:rFonts w:ascii="Arial" w:hAnsi="Arial" w:cs="Arial"/>
          <w:szCs w:val="22"/>
        </w:rPr>
        <w:t>A consultation paper on business rates retention is expected to be published at around the time of the local government finance settlement on 6 December. Officers expect the following to be covered:</w:t>
      </w:r>
    </w:p>
    <w:p w14:paraId="31265039" w14:textId="77777777" w:rsidR="00761D39" w:rsidRPr="001D5D2A" w:rsidRDefault="00761D39" w:rsidP="00761D39">
      <w:pPr>
        <w:pStyle w:val="ListParagraph"/>
        <w:ind w:left="792"/>
        <w:rPr>
          <w:rFonts w:ascii="Arial" w:hAnsi="Arial" w:cs="Arial"/>
          <w:szCs w:val="22"/>
        </w:rPr>
      </w:pPr>
    </w:p>
    <w:p w14:paraId="738BC067" w14:textId="4D97EF0A" w:rsidR="00331D2E" w:rsidRPr="001D5D2A" w:rsidRDefault="000D394B" w:rsidP="009A38F9">
      <w:pPr>
        <w:pStyle w:val="ListParagraph"/>
        <w:numPr>
          <w:ilvl w:val="1"/>
          <w:numId w:val="1"/>
        </w:numPr>
        <w:ind w:left="993" w:hanging="633"/>
        <w:rPr>
          <w:rFonts w:ascii="Arial" w:hAnsi="Arial" w:cs="Arial"/>
          <w:szCs w:val="22"/>
        </w:rPr>
      </w:pPr>
      <w:r w:rsidRPr="001D5D2A">
        <w:rPr>
          <w:rFonts w:ascii="Arial" w:hAnsi="Arial" w:cs="Arial"/>
          <w:szCs w:val="22"/>
        </w:rPr>
        <w:t>D</w:t>
      </w:r>
      <w:r w:rsidR="00331D2E" w:rsidRPr="001D5D2A">
        <w:rPr>
          <w:rFonts w:ascii="Arial" w:hAnsi="Arial" w:cs="Arial"/>
          <w:szCs w:val="22"/>
        </w:rPr>
        <w:t>ifferent options for resets</w:t>
      </w:r>
      <w:r w:rsidR="009F59BF" w:rsidRPr="001D5D2A">
        <w:rPr>
          <w:rFonts w:ascii="Arial" w:hAnsi="Arial" w:cs="Arial"/>
          <w:szCs w:val="22"/>
        </w:rPr>
        <w:t>,</w:t>
      </w:r>
      <w:r w:rsidR="00331D2E" w:rsidRPr="001D5D2A">
        <w:rPr>
          <w:rFonts w:ascii="Arial" w:hAnsi="Arial" w:cs="Arial"/>
          <w:szCs w:val="22"/>
        </w:rPr>
        <w:t xml:space="preserve"> including consideration of how to balance desirable criteria such as simplicity, rewardin</w:t>
      </w:r>
      <w:r w:rsidR="009F59BF" w:rsidRPr="001D5D2A">
        <w:rPr>
          <w:rFonts w:ascii="Arial" w:hAnsi="Arial" w:cs="Arial"/>
          <w:szCs w:val="22"/>
        </w:rPr>
        <w:t>g growth and allowing for needs. Options are expected to include partial and phased resets</w:t>
      </w:r>
      <w:r w:rsidR="00E62567">
        <w:rPr>
          <w:rFonts w:ascii="Arial" w:hAnsi="Arial" w:cs="Arial"/>
          <w:szCs w:val="22"/>
        </w:rPr>
        <w:t>;</w:t>
      </w:r>
    </w:p>
    <w:p w14:paraId="61902418" w14:textId="77777777" w:rsidR="00331D2E" w:rsidRPr="001D5D2A" w:rsidRDefault="00331D2E" w:rsidP="009A38F9">
      <w:pPr>
        <w:pStyle w:val="ListParagraph"/>
        <w:ind w:left="993" w:hanging="633"/>
        <w:rPr>
          <w:rFonts w:ascii="Arial" w:hAnsi="Arial" w:cs="Arial"/>
          <w:szCs w:val="22"/>
        </w:rPr>
      </w:pPr>
    </w:p>
    <w:p w14:paraId="536121FC" w14:textId="044EED80" w:rsidR="00331D2E" w:rsidRPr="001D5D2A" w:rsidRDefault="001A695D" w:rsidP="009A38F9">
      <w:pPr>
        <w:pStyle w:val="ListParagraph"/>
        <w:numPr>
          <w:ilvl w:val="1"/>
          <w:numId w:val="1"/>
        </w:numPr>
        <w:ind w:left="993" w:hanging="633"/>
        <w:rPr>
          <w:rFonts w:ascii="Arial" w:hAnsi="Arial" w:cs="Arial"/>
          <w:bCs/>
        </w:rPr>
      </w:pPr>
      <w:r w:rsidRPr="001D5D2A">
        <w:rPr>
          <w:rFonts w:ascii="Arial" w:hAnsi="Arial" w:cs="Arial"/>
          <w:szCs w:val="22"/>
        </w:rPr>
        <w:lastRenderedPageBreak/>
        <w:t>The</w:t>
      </w:r>
      <w:r w:rsidR="009F59BF" w:rsidRPr="001D5D2A">
        <w:rPr>
          <w:rFonts w:ascii="Arial" w:hAnsi="Arial" w:cs="Arial"/>
          <w:szCs w:val="22"/>
        </w:rPr>
        <w:t xml:space="preserve"> future of the safety net as a ‘backstop’ for authorities which have lost income although the precise level is expected to be determined at a later date</w:t>
      </w:r>
      <w:r w:rsidR="00E62567">
        <w:rPr>
          <w:rFonts w:ascii="Arial" w:hAnsi="Arial" w:cs="Arial"/>
          <w:szCs w:val="22"/>
        </w:rPr>
        <w:t>.</w:t>
      </w:r>
      <w:r w:rsidR="009F59BF" w:rsidRPr="001D5D2A">
        <w:rPr>
          <w:rFonts w:ascii="Arial" w:hAnsi="Arial" w:cs="Arial"/>
          <w:szCs w:val="22"/>
        </w:rPr>
        <w:t xml:space="preserve"> </w:t>
      </w:r>
      <w:r w:rsidR="00E62567">
        <w:rPr>
          <w:rFonts w:ascii="Arial" w:hAnsi="Arial" w:cs="Arial"/>
          <w:szCs w:val="22"/>
        </w:rPr>
        <w:t>C</w:t>
      </w:r>
      <w:r w:rsidR="009F59BF" w:rsidRPr="001D5D2A">
        <w:rPr>
          <w:rFonts w:ascii="Arial" w:hAnsi="Arial" w:cs="Arial"/>
          <w:szCs w:val="22"/>
        </w:rPr>
        <w:t>urrently the safety net is 92.5 per cent of the baseline funding level for the 50 system</w:t>
      </w:r>
      <w:r w:rsidR="00E62567">
        <w:rPr>
          <w:rFonts w:ascii="Arial" w:hAnsi="Arial" w:cs="Arial"/>
          <w:szCs w:val="22"/>
        </w:rPr>
        <w:t>,</w:t>
      </w:r>
      <w:r w:rsidR="009F59BF" w:rsidRPr="001D5D2A">
        <w:rPr>
          <w:rFonts w:ascii="Arial" w:hAnsi="Arial" w:cs="Arial"/>
          <w:szCs w:val="22"/>
        </w:rPr>
        <w:t xml:space="preserve"> and 97 per cent for the 100 per cent pilots</w:t>
      </w:r>
      <w:r w:rsidR="00E62567">
        <w:rPr>
          <w:rFonts w:ascii="Arial" w:hAnsi="Arial" w:cs="Arial"/>
          <w:szCs w:val="22"/>
        </w:rPr>
        <w:t>;</w:t>
      </w:r>
    </w:p>
    <w:p w14:paraId="7AA84506" w14:textId="77777777" w:rsidR="009F59BF" w:rsidRPr="001D5D2A" w:rsidRDefault="009F59BF" w:rsidP="009A38F9">
      <w:pPr>
        <w:pStyle w:val="ListParagraph"/>
        <w:ind w:left="993" w:hanging="633"/>
        <w:rPr>
          <w:rFonts w:ascii="Arial" w:hAnsi="Arial" w:cs="Arial"/>
          <w:bCs/>
        </w:rPr>
      </w:pPr>
    </w:p>
    <w:p w14:paraId="485413EE" w14:textId="47DF9BFA" w:rsidR="009F59BF" w:rsidRPr="001D5D2A" w:rsidRDefault="009F59BF" w:rsidP="009A38F9">
      <w:pPr>
        <w:pStyle w:val="ListParagraph"/>
        <w:numPr>
          <w:ilvl w:val="1"/>
          <w:numId w:val="1"/>
        </w:numPr>
        <w:ind w:left="993" w:hanging="633"/>
        <w:rPr>
          <w:rFonts w:ascii="Arial" w:hAnsi="Arial" w:cs="Arial"/>
          <w:bCs/>
        </w:rPr>
      </w:pPr>
      <w:r w:rsidRPr="001D5D2A">
        <w:rPr>
          <w:rFonts w:ascii="Arial" w:hAnsi="Arial" w:cs="Arial"/>
          <w:bCs/>
        </w:rPr>
        <w:t xml:space="preserve">Options for reforming the levy </w:t>
      </w:r>
      <w:r w:rsidR="004E1E86">
        <w:rPr>
          <w:rFonts w:ascii="Arial" w:hAnsi="Arial" w:cs="Arial"/>
          <w:bCs/>
        </w:rPr>
        <w:t>so that it covers what MHCLG consider to be</w:t>
      </w:r>
      <w:r w:rsidRPr="001D5D2A">
        <w:rPr>
          <w:rFonts w:ascii="Arial" w:hAnsi="Arial" w:cs="Arial"/>
          <w:bCs/>
        </w:rPr>
        <w:t xml:space="preserve"> ‘excessive growth’</w:t>
      </w:r>
      <w:r w:rsidR="004E1E86">
        <w:rPr>
          <w:rFonts w:ascii="Arial" w:hAnsi="Arial" w:cs="Arial"/>
          <w:bCs/>
        </w:rPr>
        <w:t xml:space="preserve"> within the system only</w:t>
      </w:r>
      <w:r w:rsidRPr="001D5D2A">
        <w:rPr>
          <w:rFonts w:ascii="Arial" w:hAnsi="Arial" w:cs="Arial"/>
          <w:bCs/>
        </w:rPr>
        <w:t>;</w:t>
      </w:r>
    </w:p>
    <w:p w14:paraId="7B7C530E" w14:textId="77777777" w:rsidR="000D394B" w:rsidRPr="001D5D2A" w:rsidRDefault="000D394B" w:rsidP="009A38F9">
      <w:pPr>
        <w:pStyle w:val="ListParagraph"/>
        <w:ind w:left="993" w:hanging="633"/>
        <w:rPr>
          <w:rFonts w:ascii="Arial" w:hAnsi="Arial" w:cs="Arial"/>
          <w:bCs/>
        </w:rPr>
      </w:pPr>
    </w:p>
    <w:p w14:paraId="60F2247A" w14:textId="27EC7D70" w:rsidR="00826D51" w:rsidRPr="001D5D2A" w:rsidRDefault="009F59BF" w:rsidP="009A38F9">
      <w:pPr>
        <w:pStyle w:val="ListParagraph"/>
        <w:numPr>
          <w:ilvl w:val="1"/>
          <w:numId w:val="1"/>
        </w:numPr>
        <w:ind w:left="993" w:hanging="633"/>
        <w:rPr>
          <w:rFonts w:ascii="Arial" w:hAnsi="Arial" w:cs="Arial"/>
          <w:szCs w:val="22"/>
        </w:rPr>
      </w:pPr>
      <w:r w:rsidRPr="001D5D2A">
        <w:rPr>
          <w:rFonts w:ascii="Arial" w:hAnsi="Arial" w:cs="Arial"/>
          <w:szCs w:val="22"/>
        </w:rPr>
        <w:t>Discussion of tier splits, although it is likely to be a decision made later in the process</w:t>
      </w:r>
    </w:p>
    <w:p w14:paraId="7B2EB364" w14:textId="77777777" w:rsidR="009F59BF" w:rsidRPr="001D5D2A" w:rsidRDefault="009F59BF" w:rsidP="009A38F9">
      <w:pPr>
        <w:pStyle w:val="ListParagraph"/>
        <w:ind w:left="993" w:hanging="633"/>
        <w:rPr>
          <w:rFonts w:ascii="Arial" w:hAnsi="Arial" w:cs="Arial"/>
          <w:szCs w:val="22"/>
        </w:rPr>
      </w:pPr>
    </w:p>
    <w:p w14:paraId="1F49BBFA" w14:textId="0DDF979E" w:rsidR="009F59BF" w:rsidRPr="001D5D2A" w:rsidRDefault="009F59BF" w:rsidP="009A38F9">
      <w:pPr>
        <w:pStyle w:val="ListParagraph"/>
        <w:numPr>
          <w:ilvl w:val="1"/>
          <w:numId w:val="1"/>
        </w:numPr>
        <w:ind w:left="993" w:hanging="633"/>
        <w:rPr>
          <w:rFonts w:ascii="Arial" w:hAnsi="Arial" w:cs="Arial"/>
          <w:szCs w:val="22"/>
        </w:rPr>
      </w:pPr>
      <w:r w:rsidRPr="001D5D2A">
        <w:rPr>
          <w:rFonts w:ascii="Arial" w:hAnsi="Arial" w:cs="Arial"/>
          <w:szCs w:val="22"/>
        </w:rPr>
        <w:t>How to incentivise pooling, with a more targeted levy.</w:t>
      </w:r>
    </w:p>
    <w:p w14:paraId="29DD0D99" w14:textId="77777777" w:rsidR="009F59BF" w:rsidRPr="001D5D2A" w:rsidRDefault="009F59BF" w:rsidP="009A38F9">
      <w:pPr>
        <w:pStyle w:val="ListParagraph"/>
        <w:ind w:left="993" w:hanging="633"/>
        <w:rPr>
          <w:rFonts w:ascii="Arial" w:hAnsi="Arial" w:cs="Arial"/>
          <w:szCs w:val="22"/>
        </w:rPr>
      </w:pPr>
    </w:p>
    <w:p w14:paraId="34D5E7F2" w14:textId="2A02CAB7" w:rsidR="00AC4C5F" w:rsidRDefault="009F59BF" w:rsidP="00AC4C5F">
      <w:pPr>
        <w:pStyle w:val="ListParagraph"/>
        <w:numPr>
          <w:ilvl w:val="1"/>
          <w:numId w:val="1"/>
        </w:numPr>
        <w:ind w:left="993" w:hanging="633"/>
        <w:rPr>
          <w:rFonts w:ascii="Arial" w:hAnsi="Arial" w:cs="Arial"/>
          <w:szCs w:val="22"/>
        </w:rPr>
      </w:pPr>
      <w:r w:rsidRPr="001D5D2A">
        <w:rPr>
          <w:rFonts w:ascii="Arial" w:hAnsi="Arial" w:cs="Arial"/>
          <w:szCs w:val="22"/>
        </w:rPr>
        <w:t>Criteria for property to go on the central or local lists. There is likely to be a consultation on the central and local lists, with respondents being given a chan</w:t>
      </w:r>
      <w:r w:rsidR="00E62567">
        <w:rPr>
          <w:rFonts w:ascii="Arial" w:hAnsi="Arial" w:cs="Arial"/>
          <w:szCs w:val="22"/>
        </w:rPr>
        <w:t>c</w:t>
      </w:r>
      <w:r w:rsidRPr="001D5D2A">
        <w:rPr>
          <w:rFonts w:ascii="Arial" w:hAnsi="Arial" w:cs="Arial"/>
          <w:szCs w:val="22"/>
        </w:rPr>
        <w:t>e to identify hereditaments which they think should change lists under the proposed criteria.</w:t>
      </w:r>
    </w:p>
    <w:p w14:paraId="4827AB04" w14:textId="77777777" w:rsidR="00AC4C5F" w:rsidRPr="00AC4C5F" w:rsidRDefault="00AC4C5F" w:rsidP="00AC4C5F">
      <w:pPr>
        <w:rPr>
          <w:rFonts w:ascii="Arial" w:hAnsi="Arial" w:cs="Arial"/>
          <w:szCs w:val="22"/>
        </w:rPr>
      </w:pPr>
    </w:p>
    <w:p w14:paraId="0E5DF315" w14:textId="64A13774" w:rsidR="00A15861" w:rsidRDefault="001D5D2A" w:rsidP="00AC4C5F">
      <w:pPr>
        <w:pStyle w:val="ListParagraph"/>
        <w:numPr>
          <w:ilvl w:val="0"/>
          <w:numId w:val="1"/>
        </w:numPr>
        <w:rPr>
          <w:rFonts w:ascii="Arial" w:hAnsi="Arial" w:cs="Arial"/>
          <w:szCs w:val="22"/>
        </w:rPr>
      </w:pPr>
      <w:r>
        <w:rPr>
          <w:rFonts w:ascii="Arial" w:hAnsi="Arial" w:cs="Arial"/>
          <w:szCs w:val="22"/>
        </w:rPr>
        <w:t>It is also expected that a</w:t>
      </w:r>
      <w:r w:rsidR="00E62567">
        <w:rPr>
          <w:rFonts w:ascii="Arial" w:hAnsi="Arial" w:cs="Arial"/>
          <w:szCs w:val="22"/>
        </w:rPr>
        <w:t>n</w:t>
      </w:r>
      <w:r>
        <w:rPr>
          <w:rFonts w:ascii="Arial" w:hAnsi="Arial" w:cs="Arial"/>
          <w:szCs w:val="22"/>
        </w:rPr>
        <w:t xml:space="preserve"> </w:t>
      </w:r>
      <w:r w:rsidR="00E62567">
        <w:rPr>
          <w:rFonts w:ascii="Arial" w:hAnsi="Arial" w:cs="Arial"/>
          <w:szCs w:val="22"/>
        </w:rPr>
        <w:t>alternative further business rates retention</w:t>
      </w:r>
      <w:r>
        <w:rPr>
          <w:rFonts w:ascii="Arial" w:hAnsi="Arial" w:cs="Arial"/>
          <w:szCs w:val="22"/>
        </w:rPr>
        <w:t xml:space="preserve"> system</w:t>
      </w:r>
      <w:r w:rsidR="00A15861">
        <w:rPr>
          <w:rFonts w:ascii="Arial" w:hAnsi="Arial" w:cs="Arial"/>
          <w:szCs w:val="22"/>
        </w:rPr>
        <w:t xml:space="preserve"> will be </w:t>
      </w:r>
      <w:r w:rsidR="00E62567">
        <w:rPr>
          <w:rFonts w:ascii="Arial" w:hAnsi="Arial" w:cs="Arial"/>
          <w:szCs w:val="22"/>
        </w:rPr>
        <w:t>included in the consultation document</w:t>
      </w:r>
      <w:r w:rsidR="00A15861">
        <w:rPr>
          <w:rFonts w:ascii="Arial" w:hAnsi="Arial" w:cs="Arial"/>
          <w:szCs w:val="22"/>
        </w:rPr>
        <w:t xml:space="preserve">.  </w:t>
      </w:r>
      <w:r w:rsidR="00411823">
        <w:rPr>
          <w:rFonts w:ascii="Arial" w:hAnsi="Arial" w:cs="Arial"/>
          <w:szCs w:val="22"/>
        </w:rPr>
        <w:t>Briefly:</w:t>
      </w:r>
    </w:p>
    <w:p w14:paraId="489EE3D2" w14:textId="77777777" w:rsidR="00AC4C5F" w:rsidRDefault="00AC4C5F" w:rsidP="00AC4C5F">
      <w:pPr>
        <w:pStyle w:val="ListParagraph"/>
        <w:ind w:left="360"/>
        <w:rPr>
          <w:rFonts w:ascii="Arial" w:hAnsi="Arial" w:cs="Arial"/>
          <w:szCs w:val="22"/>
        </w:rPr>
      </w:pPr>
    </w:p>
    <w:p w14:paraId="7298FEA6" w14:textId="17D94991" w:rsidR="00A15861" w:rsidRDefault="00A15861" w:rsidP="00AC4C5F">
      <w:pPr>
        <w:pStyle w:val="ListParagraph"/>
        <w:numPr>
          <w:ilvl w:val="1"/>
          <w:numId w:val="1"/>
        </w:numPr>
        <w:ind w:left="993" w:hanging="633"/>
        <w:rPr>
          <w:rFonts w:ascii="Arial" w:hAnsi="Arial" w:cs="Arial"/>
          <w:szCs w:val="22"/>
        </w:rPr>
      </w:pPr>
      <w:r>
        <w:rPr>
          <w:rFonts w:ascii="Arial" w:hAnsi="Arial" w:cs="Arial"/>
          <w:szCs w:val="22"/>
        </w:rPr>
        <w:t>there would be separate calculations of (</w:t>
      </w:r>
      <w:proofErr w:type="spellStart"/>
      <w:r>
        <w:rPr>
          <w:rFonts w:ascii="Arial" w:hAnsi="Arial" w:cs="Arial"/>
          <w:szCs w:val="22"/>
        </w:rPr>
        <w:t>i</w:t>
      </w:r>
      <w:proofErr w:type="spellEnd"/>
      <w:r>
        <w:rPr>
          <w:rFonts w:ascii="Arial" w:hAnsi="Arial" w:cs="Arial"/>
          <w:szCs w:val="22"/>
        </w:rPr>
        <w:t xml:space="preserve">) the amount of business rates that authorities would need to retain in order to match the assessment of their relative needs and (ii) the amount of business rates they would retain as a result of growth or any decline in the system. </w:t>
      </w:r>
    </w:p>
    <w:p w14:paraId="1296DB44" w14:textId="77777777" w:rsidR="00AC4C5F" w:rsidRDefault="00AC4C5F" w:rsidP="00AC4C5F">
      <w:pPr>
        <w:pStyle w:val="ListParagraph"/>
        <w:ind w:left="993"/>
        <w:rPr>
          <w:rFonts w:ascii="Arial" w:hAnsi="Arial" w:cs="Arial"/>
          <w:szCs w:val="22"/>
        </w:rPr>
      </w:pPr>
    </w:p>
    <w:p w14:paraId="375480C4" w14:textId="726E1FC3" w:rsidR="00A15861" w:rsidRDefault="00A15861" w:rsidP="00AC4C5F">
      <w:pPr>
        <w:pStyle w:val="ListParagraph"/>
        <w:numPr>
          <w:ilvl w:val="1"/>
          <w:numId w:val="1"/>
        </w:numPr>
        <w:ind w:left="993" w:hanging="633"/>
        <w:rPr>
          <w:rFonts w:ascii="Arial" w:hAnsi="Arial" w:cs="Arial"/>
          <w:szCs w:val="22"/>
        </w:rPr>
      </w:pPr>
      <w:r>
        <w:rPr>
          <w:rFonts w:ascii="Arial" w:hAnsi="Arial" w:cs="Arial"/>
          <w:szCs w:val="22"/>
        </w:rPr>
        <w:t xml:space="preserve">These would feed into a single tariff/top-up which, when added or subtracted from an authority’s share of non-domestic rating income in that year, would mean that their retained business rates were equal to their assessment of need plus any growth or decline. </w:t>
      </w:r>
    </w:p>
    <w:p w14:paraId="4066695D" w14:textId="77777777" w:rsidR="00AC4C5F" w:rsidRPr="00AC4C5F" w:rsidRDefault="00AC4C5F" w:rsidP="00AC4C5F">
      <w:pPr>
        <w:rPr>
          <w:rFonts w:ascii="Arial" w:hAnsi="Arial" w:cs="Arial"/>
          <w:szCs w:val="22"/>
        </w:rPr>
      </w:pPr>
    </w:p>
    <w:p w14:paraId="3B04A3A7" w14:textId="03EB6AA3" w:rsidR="00C500FE" w:rsidRDefault="00A15861" w:rsidP="00AC4C5F">
      <w:pPr>
        <w:pStyle w:val="ListParagraph"/>
        <w:numPr>
          <w:ilvl w:val="1"/>
          <w:numId w:val="1"/>
        </w:numPr>
        <w:ind w:left="993" w:hanging="633"/>
        <w:rPr>
          <w:rFonts w:ascii="Arial" w:hAnsi="Arial" w:cs="Arial"/>
          <w:szCs w:val="22"/>
        </w:rPr>
      </w:pPr>
      <w:r>
        <w:rPr>
          <w:rFonts w:ascii="Arial" w:hAnsi="Arial" w:cs="Arial"/>
          <w:szCs w:val="22"/>
        </w:rPr>
        <w:t>Th</w:t>
      </w:r>
      <w:r w:rsidR="00411823">
        <w:rPr>
          <w:rFonts w:ascii="Arial" w:hAnsi="Arial" w:cs="Arial"/>
          <w:szCs w:val="22"/>
        </w:rPr>
        <w:t>e Government believe</w:t>
      </w:r>
      <w:r>
        <w:rPr>
          <w:rFonts w:ascii="Arial" w:hAnsi="Arial" w:cs="Arial"/>
          <w:szCs w:val="22"/>
        </w:rPr>
        <w:t xml:space="preserve"> </w:t>
      </w:r>
      <w:r w:rsidR="00411823">
        <w:rPr>
          <w:rFonts w:ascii="Arial" w:hAnsi="Arial" w:cs="Arial"/>
          <w:szCs w:val="22"/>
        </w:rPr>
        <w:t xml:space="preserve">this </w:t>
      </w:r>
      <w:r>
        <w:rPr>
          <w:rFonts w:ascii="Arial" w:hAnsi="Arial" w:cs="Arial"/>
          <w:szCs w:val="22"/>
        </w:rPr>
        <w:t>would enable the impact of appeals and provisions to be stripped out ensuring that the benefits of growth are not reduced by larger than anticipated appeals or misjudgements about the level of provisions. This would be an alternative to the previous proposal for ‘nationalising’ appeal risk</w:t>
      </w:r>
      <w:r w:rsidR="00411823">
        <w:rPr>
          <w:rFonts w:ascii="Arial" w:hAnsi="Arial" w:cs="Arial"/>
          <w:szCs w:val="22"/>
        </w:rPr>
        <w:t xml:space="preserve"> which MHCLG do not beli</w:t>
      </w:r>
      <w:r w:rsidR="003E20C0">
        <w:rPr>
          <w:rFonts w:ascii="Arial" w:hAnsi="Arial" w:cs="Arial"/>
          <w:szCs w:val="22"/>
        </w:rPr>
        <w:t>e</w:t>
      </w:r>
      <w:r w:rsidR="00411823">
        <w:rPr>
          <w:rFonts w:ascii="Arial" w:hAnsi="Arial" w:cs="Arial"/>
          <w:szCs w:val="22"/>
        </w:rPr>
        <w:t xml:space="preserve">ve </w:t>
      </w:r>
      <w:r w:rsidR="003E20C0">
        <w:rPr>
          <w:rFonts w:ascii="Arial" w:hAnsi="Arial" w:cs="Arial"/>
          <w:szCs w:val="22"/>
        </w:rPr>
        <w:t xml:space="preserve">it </w:t>
      </w:r>
      <w:r w:rsidR="00411823">
        <w:rPr>
          <w:rFonts w:ascii="Arial" w:hAnsi="Arial" w:cs="Arial"/>
          <w:szCs w:val="22"/>
        </w:rPr>
        <w:t>is possible to achieve</w:t>
      </w:r>
      <w:r w:rsidR="00B92C12">
        <w:rPr>
          <w:rFonts w:ascii="Arial" w:hAnsi="Arial" w:cs="Arial"/>
          <w:szCs w:val="22"/>
        </w:rPr>
        <w:t xml:space="preserve"> without great complexity</w:t>
      </w:r>
      <w:r>
        <w:rPr>
          <w:rFonts w:ascii="Arial" w:hAnsi="Arial" w:cs="Arial"/>
          <w:szCs w:val="22"/>
        </w:rPr>
        <w:t>.</w:t>
      </w:r>
    </w:p>
    <w:p w14:paraId="7E86B0DF" w14:textId="77777777" w:rsidR="00AC4C5F" w:rsidRPr="00AC4C5F" w:rsidRDefault="00AC4C5F" w:rsidP="00AC4C5F">
      <w:pPr>
        <w:rPr>
          <w:rFonts w:ascii="Arial" w:hAnsi="Arial" w:cs="Arial"/>
          <w:szCs w:val="22"/>
        </w:rPr>
      </w:pPr>
    </w:p>
    <w:p w14:paraId="2ED2F4AB" w14:textId="327F002D" w:rsidR="00411823" w:rsidRDefault="00C500FE" w:rsidP="00AC4C5F">
      <w:pPr>
        <w:pStyle w:val="ListParagraph"/>
        <w:numPr>
          <w:ilvl w:val="0"/>
          <w:numId w:val="1"/>
        </w:numPr>
        <w:rPr>
          <w:rFonts w:ascii="Arial" w:hAnsi="Arial" w:cs="Arial"/>
          <w:szCs w:val="22"/>
        </w:rPr>
      </w:pPr>
      <w:r>
        <w:rPr>
          <w:rFonts w:ascii="Arial" w:hAnsi="Arial" w:cs="Arial"/>
          <w:szCs w:val="22"/>
        </w:rPr>
        <w:t xml:space="preserve">The proposal has been discussed by two joint meetings of the Systems Design Working Group and Implementation Working Group and also by the Business Rates Steering Group. </w:t>
      </w:r>
      <w:r w:rsidR="00411823">
        <w:rPr>
          <w:rFonts w:ascii="Arial" w:hAnsi="Arial" w:cs="Arial"/>
          <w:szCs w:val="22"/>
        </w:rPr>
        <w:t xml:space="preserve">It has also been discussed by the LGA’s Task and Finish Group on Business Rates Retention and the Fair Funding Review.  </w:t>
      </w:r>
      <w:r w:rsidR="0077565B">
        <w:rPr>
          <w:rFonts w:ascii="Arial" w:hAnsi="Arial" w:cs="Arial"/>
          <w:szCs w:val="22"/>
        </w:rPr>
        <w:t xml:space="preserve">Their reaction was </w:t>
      </w:r>
      <w:r w:rsidR="00411823">
        <w:rPr>
          <w:rFonts w:ascii="Arial" w:hAnsi="Arial" w:cs="Arial"/>
          <w:szCs w:val="22"/>
        </w:rPr>
        <w:t>that alternative approach is worthy of further investigation.  This includes</w:t>
      </w:r>
      <w:r w:rsidR="00B2602F">
        <w:rPr>
          <w:rFonts w:ascii="Arial" w:hAnsi="Arial" w:cs="Arial"/>
          <w:szCs w:val="22"/>
        </w:rPr>
        <w:t>:</w:t>
      </w:r>
    </w:p>
    <w:p w14:paraId="1ED4F2C0" w14:textId="77777777" w:rsidR="00AC4C5F" w:rsidRDefault="00AC4C5F" w:rsidP="00AC4C5F">
      <w:pPr>
        <w:pStyle w:val="ListParagraph"/>
        <w:ind w:left="360"/>
        <w:rPr>
          <w:rFonts w:ascii="Arial" w:hAnsi="Arial" w:cs="Arial"/>
          <w:szCs w:val="22"/>
        </w:rPr>
      </w:pPr>
    </w:p>
    <w:p w14:paraId="41AB9C64" w14:textId="08747E2A" w:rsidR="00411823" w:rsidRDefault="00B2602F" w:rsidP="00AC4C5F">
      <w:pPr>
        <w:pStyle w:val="ListParagraph"/>
        <w:numPr>
          <w:ilvl w:val="1"/>
          <w:numId w:val="1"/>
        </w:numPr>
        <w:ind w:left="993" w:hanging="633"/>
        <w:rPr>
          <w:rFonts w:ascii="Arial" w:hAnsi="Arial" w:cs="Arial"/>
          <w:szCs w:val="22"/>
        </w:rPr>
      </w:pPr>
      <w:r>
        <w:rPr>
          <w:rFonts w:ascii="Arial" w:hAnsi="Arial" w:cs="Arial"/>
          <w:szCs w:val="22"/>
        </w:rPr>
        <w:t>H</w:t>
      </w:r>
      <w:r w:rsidR="00411823">
        <w:rPr>
          <w:rFonts w:ascii="Arial" w:hAnsi="Arial" w:cs="Arial"/>
          <w:szCs w:val="22"/>
        </w:rPr>
        <w:t>ow it can be explained more simply;</w:t>
      </w:r>
    </w:p>
    <w:p w14:paraId="6A7173EF" w14:textId="77777777" w:rsidR="00AC4C5F" w:rsidRDefault="00AC4C5F" w:rsidP="00AC4C5F">
      <w:pPr>
        <w:pStyle w:val="ListParagraph"/>
        <w:ind w:left="993"/>
        <w:rPr>
          <w:rFonts w:ascii="Arial" w:hAnsi="Arial" w:cs="Arial"/>
          <w:szCs w:val="22"/>
        </w:rPr>
      </w:pPr>
    </w:p>
    <w:p w14:paraId="742C2D7D" w14:textId="06505280" w:rsidR="00411823" w:rsidRDefault="00B2602F" w:rsidP="00AC4C5F">
      <w:pPr>
        <w:pStyle w:val="ListParagraph"/>
        <w:numPr>
          <w:ilvl w:val="1"/>
          <w:numId w:val="1"/>
        </w:numPr>
        <w:ind w:left="993" w:hanging="633"/>
        <w:rPr>
          <w:rFonts w:ascii="Arial" w:hAnsi="Arial" w:cs="Arial"/>
          <w:szCs w:val="22"/>
        </w:rPr>
      </w:pPr>
      <w:r>
        <w:rPr>
          <w:rFonts w:ascii="Arial" w:hAnsi="Arial" w:cs="Arial"/>
          <w:szCs w:val="22"/>
        </w:rPr>
        <w:t>E</w:t>
      </w:r>
      <w:r w:rsidR="00411823">
        <w:rPr>
          <w:rFonts w:ascii="Arial" w:hAnsi="Arial" w:cs="Arial"/>
          <w:szCs w:val="22"/>
        </w:rPr>
        <w:t>nsuring that how the system is operated i</w:t>
      </w:r>
      <w:r w:rsidR="00B92C12">
        <w:rPr>
          <w:rFonts w:ascii="Arial" w:hAnsi="Arial" w:cs="Arial"/>
          <w:szCs w:val="22"/>
        </w:rPr>
        <w:t xml:space="preserve">s </w:t>
      </w:r>
      <w:r w:rsidR="00411823">
        <w:rPr>
          <w:rFonts w:ascii="Arial" w:hAnsi="Arial" w:cs="Arial"/>
          <w:szCs w:val="22"/>
        </w:rPr>
        <w:t xml:space="preserve">transparent including how it compensates for appeals, and the level of business </w:t>
      </w:r>
      <w:r w:rsidR="003E20C0">
        <w:rPr>
          <w:rFonts w:ascii="Arial" w:hAnsi="Arial" w:cs="Arial"/>
          <w:szCs w:val="22"/>
        </w:rPr>
        <w:t>ra</w:t>
      </w:r>
      <w:r w:rsidR="00411823">
        <w:rPr>
          <w:rFonts w:ascii="Arial" w:hAnsi="Arial" w:cs="Arial"/>
          <w:szCs w:val="22"/>
        </w:rPr>
        <w:t>tes and growth kept locally and nationally;</w:t>
      </w:r>
    </w:p>
    <w:p w14:paraId="1D797CE8" w14:textId="77777777" w:rsidR="00AC4C5F" w:rsidRPr="00AC4C5F" w:rsidRDefault="00AC4C5F" w:rsidP="00AC4C5F">
      <w:pPr>
        <w:rPr>
          <w:rFonts w:ascii="Arial" w:hAnsi="Arial" w:cs="Arial"/>
          <w:szCs w:val="22"/>
        </w:rPr>
      </w:pPr>
    </w:p>
    <w:p w14:paraId="1D2462CC" w14:textId="2A2091A5" w:rsidR="00087055" w:rsidRDefault="00B2602F" w:rsidP="00AC4C5F">
      <w:pPr>
        <w:pStyle w:val="ListParagraph"/>
        <w:numPr>
          <w:ilvl w:val="1"/>
          <w:numId w:val="1"/>
        </w:numPr>
        <w:ind w:left="993" w:hanging="633"/>
        <w:rPr>
          <w:rFonts w:ascii="Arial" w:hAnsi="Arial" w:cs="Arial"/>
          <w:szCs w:val="22"/>
        </w:rPr>
      </w:pPr>
      <w:r>
        <w:rPr>
          <w:rFonts w:ascii="Arial" w:hAnsi="Arial" w:cs="Arial"/>
          <w:szCs w:val="22"/>
        </w:rPr>
        <w:t>Modelling</w:t>
      </w:r>
      <w:r w:rsidR="00411823">
        <w:rPr>
          <w:rFonts w:ascii="Arial" w:hAnsi="Arial" w:cs="Arial"/>
          <w:szCs w:val="22"/>
        </w:rPr>
        <w:t xml:space="preserve"> to demonstrate it can achieve the above without unintended consequences.</w:t>
      </w:r>
    </w:p>
    <w:p w14:paraId="3E802069" w14:textId="77777777" w:rsidR="00AC4C5F" w:rsidRPr="00AC4C5F" w:rsidRDefault="00AC4C5F" w:rsidP="00AC4C5F">
      <w:pPr>
        <w:rPr>
          <w:rFonts w:ascii="Arial" w:hAnsi="Arial" w:cs="Arial"/>
          <w:szCs w:val="22"/>
        </w:rPr>
      </w:pPr>
    </w:p>
    <w:p w14:paraId="10405EC2" w14:textId="7470A587" w:rsidR="0035643B" w:rsidRPr="003E1C04" w:rsidRDefault="0035643B" w:rsidP="00AC4C5F">
      <w:pPr>
        <w:rPr>
          <w:rFonts w:ascii="Arial" w:hAnsi="Arial" w:cs="Arial"/>
          <w:b/>
          <w:bCs/>
        </w:rPr>
      </w:pPr>
      <w:r w:rsidRPr="003E1C04">
        <w:rPr>
          <w:rFonts w:ascii="Arial" w:hAnsi="Arial" w:cs="Arial"/>
          <w:b/>
          <w:bCs/>
        </w:rPr>
        <w:t>Other matters</w:t>
      </w:r>
    </w:p>
    <w:p w14:paraId="18949A5D" w14:textId="3CD51A3E" w:rsidR="00087055" w:rsidRDefault="00087055" w:rsidP="00AC4C5F">
      <w:pPr>
        <w:rPr>
          <w:rFonts w:ascii="Arial" w:hAnsi="Arial" w:cs="Arial"/>
          <w:b/>
          <w:bCs/>
          <w:highlight w:val="yellow"/>
        </w:rPr>
      </w:pPr>
    </w:p>
    <w:p w14:paraId="5BFC4459" w14:textId="0F423A98" w:rsidR="00087055" w:rsidRPr="00072C2E" w:rsidRDefault="00087055" w:rsidP="00AC4C5F">
      <w:pPr>
        <w:pStyle w:val="ListParagraph"/>
        <w:numPr>
          <w:ilvl w:val="0"/>
          <w:numId w:val="1"/>
        </w:numPr>
        <w:rPr>
          <w:rFonts w:ascii="Arial" w:hAnsi="Arial" w:cs="Arial"/>
        </w:rPr>
      </w:pPr>
      <w:r w:rsidRPr="00072C2E">
        <w:rPr>
          <w:rFonts w:ascii="Arial" w:hAnsi="Arial" w:cs="Arial"/>
        </w:rPr>
        <w:t xml:space="preserve">On 14 November at </w:t>
      </w:r>
      <w:r w:rsidR="00B247EA" w:rsidRPr="00072C2E">
        <w:rPr>
          <w:rFonts w:ascii="Arial" w:hAnsi="Arial" w:cs="Arial"/>
        </w:rPr>
        <w:t xml:space="preserve">the </w:t>
      </w:r>
      <w:r w:rsidRPr="00072C2E">
        <w:rPr>
          <w:rFonts w:ascii="Arial" w:hAnsi="Arial" w:cs="Arial"/>
        </w:rPr>
        <w:t xml:space="preserve">National Children’s and Adult Services Conference, the LGA published </w:t>
      </w:r>
      <w:hyperlink r:id="rId22" w:history="1">
        <w:r w:rsidRPr="00360B5F">
          <w:rPr>
            <w:rStyle w:val="Hyperlink"/>
            <w:rFonts w:ascii="Arial" w:hAnsi="Arial" w:cs="Arial"/>
          </w:rPr>
          <w:t>its reaction to the responses received to the LGA’s Green Paper on the future of adult social care and wellbeing</w:t>
        </w:r>
      </w:hyperlink>
      <w:r w:rsidRPr="00072C2E">
        <w:rPr>
          <w:rFonts w:ascii="Arial" w:hAnsi="Arial" w:cs="Arial"/>
        </w:rPr>
        <w:t>.</w:t>
      </w:r>
    </w:p>
    <w:p w14:paraId="302E584E" w14:textId="77777777" w:rsidR="008351C7" w:rsidRPr="008351C7" w:rsidRDefault="008351C7" w:rsidP="00AC4C5F">
      <w:pPr>
        <w:pStyle w:val="ListParagraph"/>
        <w:ind w:left="360"/>
        <w:rPr>
          <w:rFonts w:ascii="Arial" w:hAnsi="Arial" w:cs="Arial"/>
        </w:rPr>
      </w:pPr>
    </w:p>
    <w:p w14:paraId="79A43A56" w14:textId="0E4541F1" w:rsidR="00087055" w:rsidRDefault="008351C7" w:rsidP="00AC4C5F">
      <w:pPr>
        <w:pStyle w:val="ListParagraph"/>
        <w:numPr>
          <w:ilvl w:val="0"/>
          <w:numId w:val="1"/>
        </w:numPr>
        <w:rPr>
          <w:rFonts w:ascii="Arial" w:hAnsi="Arial" w:cs="Arial"/>
        </w:rPr>
      </w:pPr>
      <w:r w:rsidRPr="008351C7">
        <w:rPr>
          <w:rFonts w:ascii="Arial" w:hAnsi="Arial" w:cs="Arial"/>
        </w:rPr>
        <w:t>The key recommendations related to financial issues include:</w:t>
      </w:r>
    </w:p>
    <w:p w14:paraId="154D73A9" w14:textId="77777777" w:rsidR="008351C7" w:rsidRPr="008351C7" w:rsidRDefault="008351C7" w:rsidP="00AC4C5F">
      <w:pPr>
        <w:pStyle w:val="ListParagraph"/>
        <w:rPr>
          <w:rFonts w:ascii="Arial" w:hAnsi="Arial" w:cs="Arial"/>
        </w:rPr>
      </w:pPr>
    </w:p>
    <w:p w14:paraId="1F189CD4" w14:textId="1E064981" w:rsidR="008351C7" w:rsidRDefault="008351C7" w:rsidP="00AC4C5F">
      <w:pPr>
        <w:pStyle w:val="ListParagraph"/>
        <w:numPr>
          <w:ilvl w:val="1"/>
          <w:numId w:val="1"/>
        </w:numPr>
        <w:ind w:left="993" w:hanging="633"/>
        <w:rPr>
          <w:rFonts w:ascii="Arial" w:hAnsi="Arial" w:cs="Arial"/>
        </w:rPr>
      </w:pPr>
      <w:r w:rsidRPr="008351C7">
        <w:rPr>
          <w:rFonts w:ascii="Arial" w:hAnsi="Arial" w:cs="Arial"/>
        </w:rPr>
        <w:t>The Government should fund in full the £3.56 billion funding gap facing adult social care by 2024/25</w:t>
      </w:r>
      <w:r w:rsidR="00EB1842">
        <w:rPr>
          <w:rFonts w:ascii="Arial" w:hAnsi="Arial" w:cs="Arial"/>
        </w:rPr>
        <w:t xml:space="preserve"> to allow current services to continue</w:t>
      </w:r>
      <w:r w:rsidRPr="008351C7">
        <w:rPr>
          <w:rFonts w:ascii="Arial" w:hAnsi="Arial" w:cs="Arial"/>
        </w:rPr>
        <w:t>.</w:t>
      </w:r>
    </w:p>
    <w:p w14:paraId="57C86749" w14:textId="77777777" w:rsidR="008351C7" w:rsidRPr="008351C7" w:rsidRDefault="008351C7" w:rsidP="00AC4C5F">
      <w:pPr>
        <w:pStyle w:val="ListParagraph"/>
        <w:ind w:left="993"/>
        <w:rPr>
          <w:rFonts w:ascii="Arial" w:hAnsi="Arial" w:cs="Arial"/>
        </w:rPr>
      </w:pPr>
    </w:p>
    <w:p w14:paraId="06298916" w14:textId="01783634" w:rsidR="008351C7" w:rsidRPr="008351C7" w:rsidRDefault="008351C7" w:rsidP="00AC4C5F">
      <w:pPr>
        <w:pStyle w:val="ListParagraph"/>
        <w:numPr>
          <w:ilvl w:val="1"/>
          <w:numId w:val="1"/>
        </w:numPr>
        <w:ind w:left="993" w:hanging="633"/>
        <w:rPr>
          <w:rFonts w:ascii="Arial" w:hAnsi="Arial" w:cs="Arial"/>
          <w:szCs w:val="22"/>
        </w:rPr>
      </w:pPr>
      <w:r w:rsidRPr="008351C7">
        <w:rPr>
          <w:rFonts w:ascii="Arial" w:hAnsi="Arial" w:cs="Arial"/>
          <w:szCs w:val="22"/>
        </w:rPr>
        <w:t>The Government must work with local authorities to agree a clear figure for the cost of unmet and under-met adult social care need in time to feed into 2019 Spending Review discussions.</w:t>
      </w:r>
    </w:p>
    <w:p w14:paraId="3E2F32E3" w14:textId="77777777" w:rsidR="008351C7" w:rsidRDefault="008351C7" w:rsidP="00AC4C5F">
      <w:pPr>
        <w:pStyle w:val="ListParagraph"/>
        <w:ind w:left="993"/>
        <w:rPr>
          <w:rFonts w:ascii="Arial" w:hAnsi="Arial" w:cs="Arial"/>
          <w:szCs w:val="22"/>
        </w:rPr>
      </w:pPr>
    </w:p>
    <w:p w14:paraId="3A5B9CA3" w14:textId="16926EA2" w:rsidR="008351C7" w:rsidRPr="008351C7" w:rsidRDefault="008351C7" w:rsidP="00AC4C5F">
      <w:pPr>
        <w:pStyle w:val="ListParagraph"/>
        <w:numPr>
          <w:ilvl w:val="1"/>
          <w:numId w:val="1"/>
        </w:numPr>
        <w:ind w:left="993" w:hanging="633"/>
        <w:rPr>
          <w:rFonts w:ascii="Arial" w:hAnsi="Arial" w:cs="Arial"/>
          <w:szCs w:val="22"/>
        </w:rPr>
      </w:pPr>
      <w:r w:rsidRPr="008351C7">
        <w:rPr>
          <w:rFonts w:ascii="Arial" w:hAnsi="Arial" w:cs="Arial"/>
          <w:szCs w:val="22"/>
        </w:rPr>
        <w:t>The Government should prioritise investment in prevention, community and primary health services within the £20.5 billion additional expenditure for the NHS.</w:t>
      </w:r>
    </w:p>
    <w:p w14:paraId="33C0005D" w14:textId="77777777" w:rsidR="008351C7" w:rsidRDefault="008351C7" w:rsidP="00AC4C5F">
      <w:pPr>
        <w:pStyle w:val="ListParagraph"/>
        <w:ind w:left="993"/>
        <w:rPr>
          <w:rFonts w:ascii="Arial" w:hAnsi="Arial" w:cs="Arial"/>
          <w:szCs w:val="22"/>
        </w:rPr>
      </w:pPr>
    </w:p>
    <w:p w14:paraId="77DDC1AE" w14:textId="723E894A" w:rsidR="008351C7" w:rsidRPr="008351C7" w:rsidRDefault="008351C7" w:rsidP="00AC4C5F">
      <w:pPr>
        <w:pStyle w:val="ListParagraph"/>
        <w:numPr>
          <w:ilvl w:val="1"/>
          <w:numId w:val="1"/>
        </w:numPr>
        <w:ind w:left="993" w:hanging="633"/>
        <w:rPr>
          <w:rFonts w:ascii="Arial" w:hAnsi="Arial" w:cs="Arial"/>
          <w:szCs w:val="22"/>
        </w:rPr>
      </w:pPr>
      <w:r w:rsidRPr="008351C7">
        <w:rPr>
          <w:rFonts w:ascii="Arial" w:hAnsi="Arial" w:cs="Arial"/>
          <w:szCs w:val="22"/>
        </w:rPr>
        <w:t>Where additional funding is invested in adult social care, this should be made available with as few conditions as possible so local areas have discretion to prioritise the most pressing local issues.</w:t>
      </w:r>
    </w:p>
    <w:p w14:paraId="67DAB7B7" w14:textId="77777777" w:rsidR="008351C7" w:rsidRDefault="008351C7" w:rsidP="00AC4C5F">
      <w:pPr>
        <w:pStyle w:val="ListParagraph"/>
        <w:ind w:left="993"/>
        <w:rPr>
          <w:rFonts w:ascii="Arial" w:hAnsi="Arial" w:cs="Arial"/>
        </w:rPr>
      </w:pPr>
    </w:p>
    <w:p w14:paraId="16BBCE37" w14:textId="10AE0B3D" w:rsidR="008351C7" w:rsidRPr="008351C7" w:rsidRDefault="008351C7" w:rsidP="00AC4C5F">
      <w:pPr>
        <w:pStyle w:val="ListParagraph"/>
        <w:numPr>
          <w:ilvl w:val="1"/>
          <w:numId w:val="1"/>
        </w:numPr>
        <w:ind w:left="993" w:hanging="633"/>
        <w:rPr>
          <w:rFonts w:ascii="Arial" w:hAnsi="Arial" w:cs="Arial"/>
        </w:rPr>
      </w:pPr>
      <w:r w:rsidRPr="008351C7">
        <w:rPr>
          <w:rFonts w:ascii="Arial" w:hAnsi="Arial" w:cs="Arial"/>
        </w:rPr>
        <w:t>The £600 million cut to the public health grant since 2015 should be reversed.</w:t>
      </w:r>
    </w:p>
    <w:p w14:paraId="4CC6CFB5" w14:textId="77777777" w:rsidR="008351C7" w:rsidRDefault="008351C7" w:rsidP="00AC4C5F">
      <w:pPr>
        <w:pStyle w:val="ListParagraph"/>
        <w:ind w:left="993"/>
        <w:rPr>
          <w:rFonts w:ascii="Arial" w:hAnsi="Arial" w:cs="Arial"/>
        </w:rPr>
      </w:pPr>
    </w:p>
    <w:p w14:paraId="4F9B3787" w14:textId="6FBB278C" w:rsidR="008351C7" w:rsidRPr="00E065DB" w:rsidRDefault="008351C7" w:rsidP="00AC4C5F">
      <w:pPr>
        <w:pStyle w:val="ListParagraph"/>
        <w:numPr>
          <w:ilvl w:val="1"/>
          <w:numId w:val="1"/>
        </w:numPr>
        <w:ind w:left="993" w:hanging="633"/>
        <w:rPr>
          <w:rFonts w:ascii="Arial" w:hAnsi="Arial" w:cs="Arial"/>
        </w:rPr>
      </w:pPr>
      <w:r w:rsidRPr="008351C7">
        <w:rPr>
          <w:rFonts w:ascii="Arial" w:hAnsi="Arial" w:cs="Arial"/>
        </w:rPr>
        <w:t xml:space="preserve">In consulting on the shape of, and sustainable funding for, social care through its green paper, the Government should make the case for increases in Income Tax </w:t>
      </w:r>
      <w:r w:rsidRPr="00E065DB">
        <w:rPr>
          <w:rFonts w:ascii="Arial" w:hAnsi="Arial" w:cs="Arial"/>
        </w:rPr>
        <w:t>and/or National Insurance and/or a social care premium.</w:t>
      </w:r>
    </w:p>
    <w:p w14:paraId="6EF95EEA" w14:textId="77777777" w:rsidR="008351C7" w:rsidRPr="00E065DB" w:rsidRDefault="008351C7" w:rsidP="00AC4C5F">
      <w:pPr>
        <w:pStyle w:val="ListParagraph"/>
        <w:ind w:left="792"/>
        <w:rPr>
          <w:rFonts w:ascii="Arial" w:hAnsi="Arial" w:cs="Arial"/>
        </w:rPr>
      </w:pPr>
    </w:p>
    <w:p w14:paraId="1C1D49C7" w14:textId="7AC0A653" w:rsidR="00040FC4" w:rsidRPr="001D0510" w:rsidRDefault="00040FC4" w:rsidP="00AC4C5F">
      <w:pPr>
        <w:pStyle w:val="ListParagraph"/>
        <w:numPr>
          <w:ilvl w:val="0"/>
          <w:numId w:val="1"/>
        </w:numPr>
        <w:rPr>
          <w:rFonts w:ascii="Arial" w:hAnsi="Arial" w:cs="Arial"/>
          <w:szCs w:val="22"/>
        </w:rPr>
      </w:pPr>
      <w:r w:rsidRPr="001D0510">
        <w:rPr>
          <w:rFonts w:ascii="Arial" w:hAnsi="Arial" w:cs="Arial"/>
        </w:rPr>
        <w:t xml:space="preserve">In October MHCLG published </w:t>
      </w:r>
      <w:r w:rsidRPr="001D0510">
        <w:rPr>
          <w:rFonts w:ascii="Arial" w:hAnsi="Arial" w:cs="Arial"/>
          <w:color w:val="333333"/>
          <w:szCs w:val="22"/>
        </w:rPr>
        <w:t xml:space="preserve">the </w:t>
      </w:r>
      <w:hyperlink r:id="rId23" w:history="1">
        <w:r w:rsidRPr="00AC4C5F">
          <w:rPr>
            <w:rStyle w:val="Hyperlink"/>
            <w:rFonts w:ascii="Arial" w:hAnsi="Arial" w:cs="Arial"/>
            <w:color w:val="0070C0"/>
            <w:szCs w:val="22"/>
          </w:rPr>
          <w:t>report</w:t>
        </w:r>
      </w:hyperlink>
      <w:r w:rsidRPr="00AC4C5F">
        <w:rPr>
          <w:rFonts w:ascii="Arial" w:hAnsi="Arial" w:cs="Arial"/>
          <w:color w:val="0070C0"/>
          <w:szCs w:val="22"/>
        </w:rPr>
        <w:t xml:space="preserve"> </w:t>
      </w:r>
      <w:r w:rsidRPr="001D0510">
        <w:rPr>
          <w:rFonts w:ascii="Arial" w:hAnsi="Arial" w:cs="Arial"/>
          <w:color w:val="333333"/>
          <w:szCs w:val="22"/>
        </w:rPr>
        <w:t xml:space="preserve">of the independent review of the governance and processes which underpin the oversight of the business rates system carried out by Andrew Hudson. The review was published following the error in calculating the S31 grant for pilot authorities earlier this year. The review included recommendations that the </w:t>
      </w:r>
      <w:r w:rsidR="00AD742F" w:rsidRPr="001D0510">
        <w:rPr>
          <w:rFonts w:ascii="Arial" w:hAnsi="Arial" w:cs="Arial"/>
          <w:color w:val="333333"/>
          <w:szCs w:val="22"/>
        </w:rPr>
        <w:t xml:space="preserve">final </w:t>
      </w:r>
      <w:r w:rsidRPr="001D0510">
        <w:rPr>
          <w:rFonts w:ascii="Arial" w:hAnsi="Arial" w:cs="Arial"/>
          <w:color w:val="333333"/>
          <w:szCs w:val="22"/>
        </w:rPr>
        <w:t>local government finance settlement should be published no later than 31 January and that the provisional settlement should be published by about 5 December. MHCLG ha</w:t>
      </w:r>
      <w:r w:rsidR="00AD742F" w:rsidRPr="001D0510">
        <w:rPr>
          <w:rFonts w:ascii="Arial" w:hAnsi="Arial" w:cs="Arial"/>
          <w:color w:val="333333"/>
          <w:szCs w:val="22"/>
        </w:rPr>
        <w:t>s</w:t>
      </w:r>
      <w:r w:rsidRPr="001D0510">
        <w:rPr>
          <w:rFonts w:ascii="Arial" w:hAnsi="Arial" w:cs="Arial"/>
          <w:color w:val="333333"/>
          <w:szCs w:val="22"/>
        </w:rPr>
        <w:t xml:space="preserve"> announced that the provisional settlement for 2019/20 will be published </w:t>
      </w:r>
      <w:r w:rsidR="00415F53" w:rsidRPr="001D0510">
        <w:rPr>
          <w:rFonts w:ascii="Arial" w:hAnsi="Arial" w:cs="Arial"/>
          <w:color w:val="333333"/>
          <w:szCs w:val="22"/>
        </w:rPr>
        <w:t>o</w:t>
      </w:r>
      <w:r w:rsidRPr="001D0510">
        <w:rPr>
          <w:rFonts w:ascii="Arial" w:hAnsi="Arial" w:cs="Arial"/>
          <w:color w:val="333333"/>
          <w:szCs w:val="22"/>
        </w:rPr>
        <w:t>n 6 December 2018.</w:t>
      </w:r>
    </w:p>
    <w:p w14:paraId="4F5794F8" w14:textId="77777777" w:rsidR="00040FC4" w:rsidRPr="00040FC4" w:rsidRDefault="00040FC4" w:rsidP="00AC4C5F">
      <w:pPr>
        <w:pStyle w:val="ListParagraph"/>
        <w:ind w:left="360"/>
        <w:rPr>
          <w:rFonts w:ascii="Arial" w:hAnsi="Arial" w:cs="Arial"/>
          <w:szCs w:val="22"/>
          <w:highlight w:val="yellow"/>
        </w:rPr>
      </w:pPr>
    </w:p>
    <w:p w14:paraId="3C10F227" w14:textId="131DCE83" w:rsidR="0065748B" w:rsidRPr="003E1C04" w:rsidRDefault="002E707A" w:rsidP="00AC4C5F">
      <w:pPr>
        <w:pStyle w:val="ListParagraph"/>
        <w:numPr>
          <w:ilvl w:val="0"/>
          <w:numId w:val="1"/>
        </w:numPr>
        <w:rPr>
          <w:rFonts w:ascii="Arial" w:hAnsi="Arial" w:cs="Arial"/>
        </w:rPr>
      </w:pPr>
      <w:r w:rsidRPr="003E1C04">
        <w:rPr>
          <w:rFonts w:ascii="Arial" w:hAnsi="Arial" w:cs="Arial"/>
        </w:rPr>
        <w:t xml:space="preserve">The Government has published its </w:t>
      </w:r>
      <w:hyperlink r:id="rId24" w:history="1">
        <w:r w:rsidRPr="00E065DB">
          <w:rPr>
            <w:rStyle w:val="Hyperlink"/>
            <w:rFonts w:ascii="Arial" w:hAnsi="Arial" w:cs="Arial"/>
          </w:rPr>
          <w:t>response</w:t>
        </w:r>
      </w:hyperlink>
      <w:r w:rsidRPr="003E1C04">
        <w:rPr>
          <w:rFonts w:ascii="Arial" w:hAnsi="Arial" w:cs="Arial"/>
        </w:rPr>
        <w:t xml:space="preserve"> to the consultation on mitigating the impact of fair value movements in pooled investment funds</w:t>
      </w:r>
      <w:r w:rsidR="00252432">
        <w:rPr>
          <w:rFonts w:ascii="Arial" w:hAnsi="Arial" w:cs="Arial"/>
        </w:rPr>
        <w:t xml:space="preserve"> and draft regulations</w:t>
      </w:r>
      <w:r w:rsidRPr="003E1C04">
        <w:rPr>
          <w:rFonts w:ascii="Arial" w:hAnsi="Arial" w:cs="Arial"/>
        </w:rPr>
        <w:t xml:space="preserve">; the last meeting of Resources Board approved the LGA’s submission to the consultation. There were an exceptionally high number of responses to the consultation, showing that this is an issue for the sector. </w:t>
      </w:r>
      <w:r w:rsidR="00252432">
        <w:rPr>
          <w:rFonts w:ascii="Arial" w:hAnsi="Arial" w:cs="Arial"/>
        </w:rPr>
        <w:t>The Government has announced that it will</w:t>
      </w:r>
      <w:r w:rsidR="00252432" w:rsidRPr="00252432">
        <w:rPr>
          <w:rFonts w:ascii="Arial" w:hAnsi="Arial" w:cs="Arial"/>
        </w:rPr>
        <w:t xml:space="preserve"> implement the statutory override for at least five years and will then review further</w:t>
      </w:r>
      <w:r w:rsidR="00252432">
        <w:rPr>
          <w:rFonts w:ascii="Arial" w:hAnsi="Arial" w:cs="Arial"/>
        </w:rPr>
        <w:t>, which is a good outcome for the sector</w:t>
      </w:r>
      <w:r w:rsidR="00252432" w:rsidRPr="00252432">
        <w:rPr>
          <w:rFonts w:ascii="Arial" w:hAnsi="Arial" w:cs="Arial"/>
        </w:rPr>
        <w:t>.</w:t>
      </w:r>
    </w:p>
    <w:p w14:paraId="5811505B" w14:textId="77777777" w:rsidR="002E707A" w:rsidRPr="003E1C04" w:rsidRDefault="002E707A" w:rsidP="00AC4C5F">
      <w:pPr>
        <w:pStyle w:val="ListParagraph"/>
        <w:rPr>
          <w:rFonts w:ascii="Arial" w:hAnsi="Arial" w:cs="Arial"/>
        </w:rPr>
      </w:pPr>
    </w:p>
    <w:p w14:paraId="2D14DC13" w14:textId="1BB2B71C" w:rsidR="002E707A" w:rsidRPr="003E1C04" w:rsidRDefault="002E707A" w:rsidP="00AC4C5F">
      <w:pPr>
        <w:pStyle w:val="ListParagraph"/>
        <w:numPr>
          <w:ilvl w:val="0"/>
          <w:numId w:val="1"/>
        </w:numPr>
        <w:rPr>
          <w:rFonts w:ascii="Arial" w:hAnsi="Arial" w:cs="Arial"/>
        </w:rPr>
      </w:pPr>
      <w:r w:rsidRPr="003E1C04">
        <w:rPr>
          <w:rFonts w:ascii="Arial" w:hAnsi="Arial" w:cs="Arial"/>
        </w:rPr>
        <w:t>Following the implementation in April of the new prudential framework for capital finance and MHCLG’s updated statutory guidance for local authority investment</w:t>
      </w:r>
      <w:r w:rsidR="00822B6A" w:rsidRPr="003E1C04">
        <w:rPr>
          <w:rFonts w:ascii="Arial" w:hAnsi="Arial" w:cs="Arial"/>
        </w:rPr>
        <w:t>s</w:t>
      </w:r>
      <w:r w:rsidRPr="003E1C04">
        <w:rPr>
          <w:rFonts w:ascii="Arial" w:hAnsi="Arial" w:cs="Arial"/>
        </w:rPr>
        <w:t xml:space="preserve">, </w:t>
      </w:r>
      <w:proofErr w:type="spellStart"/>
      <w:r w:rsidRPr="003E1C04">
        <w:rPr>
          <w:rFonts w:ascii="Arial" w:hAnsi="Arial" w:cs="Arial"/>
        </w:rPr>
        <w:t>Cipfa</w:t>
      </w:r>
      <w:proofErr w:type="spellEnd"/>
      <w:r w:rsidRPr="003E1C04">
        <w:rPr>
          <w:rFonts w:ascii="Arial" w:hAnsi="Arial" w:cs="Arial"/>
        </w:rPr>
        <w:t xml:space="preserve"> ha</w:t>
      </w:r>
      <w:r w:rsidR="00415F53">
        <w:rPr>
          <w:rFonts w:ascii="Arial" w:hAnsi="Arial" w:cs="Arial"/>
        </w:rPr>
        <w:t>s</w:t>
      </w:r>
      <w:r w:rsidRPr="003E1C04">
        <w:rPr>
          <w:rFonts w:ascii="Arial" w:hAnsi="Arial" w:cs="Arial"/>
        </w:rPr>
        <w:t xml:space="preserve"> published </w:t>
      </w:r>
      <w:hyperlink r:id="rId25" w:history="1">
        <w:r w:rsidRPr="00E065DB">
          <w:rPr>
            <w:rStyle w:val="Hyperlink"/>
            <w:rFonts w:ascii="Arial" w:hAnsi="Arial" w:cs="Arial"/>
          </w:rPr>
          <w:t>a statement</w:t>
        </w:r>
      </w:hyperlink>
      <w:r w:rsidRPr="003E1C04">
        <w:rPr>
          <w:rFonts w:ascii="Arial" w:hAnsi="Arial" w:cs="Arial"/>
        </w:rPr>
        <w:t xml:space="preserve"> on borrowing in advance of need and investments in commercial properties</w:t>
      </w:r>
      <w:r w:rsidR="00822B6A" w:rsidRPr="003E1C04">
        <w:rPr>
          <w:rFonts w:ascii="Arial" w:hAnsi="Arial" w:cs="Arial"/>
        </w:rPr>
        <w:t xml:space="preserve">. In this statement </w:t>
      </w:r>
      <w:proofErr w:type="spellStart"/>
      <w:r w:rsidR="00822B6A" w:rsidRPr="003E1C04">
        <w:rPr>
          <w:rFonts w:ascii="Arial" w:hAnsi="Arial" w:cs="Arial"/>
        </w:rPr>
        <w:t>Cipfa</w:t>
      </w:r>
      <w:proofErr w:type="spellEnd"/>
      <w:r w:rsidR="00822B6A" w:rsidRPr="003E1C04">
        <w:rPr>
          <w:rFonts w:ascii="Arial" w:hAnsi="Arial" w:cs="Arial"/>
        </w:rPr>
        <w:t xml:space="preserve"> ha</w:t>
      </w:r>
      <w:r w:rsidR="00415F53">
        <w:rPr>
          <w:rFonts w:ascii="Arial" w:hAnsi="Arial" w:cs="Arial"/>
        </w:rPr>
        <w:t>s</w:t>
      </w:r>
      <w:r w:rsidR="00822B6A" w:rsidRPr="003E1C04">
        <w:rPr>
          <w:rFonts w:ascii="Arial" w:hAnsi="Arial" w:cs="Arial"/>
        </w:rPr>
        <w:t xml:space="preserve"> signalled their intent to issue further guidance to </w:t>
      </w:r>
      <w:r w:rsidR="00822B6A" w:rsidRPr="003E1C04">
        <w:rPr>
          <w:rFonts w:ascii="Arial" w:hAnsi="Arial" w:cs="Arial"/>
        </w:rPr>
        <w:lastRenderedPageBreak/>
        <w:t>clarify whether certain investment approaches identified are consistent with the requirements of fiscal sustainability, prudence and affordability.</w:t>
      </w:r>
    </w:p>
    <w:p w14:paraId="2AC471A5" w14:textId="77777777" w:rsidR="000736D2" w:rsidRPr="003E1C04" w:rsidRDefault="000736D2" w:rsidP="00AC4C5F">
      <w:pPr>
        <w:pStyle w:val="ListParagraph"/>
        <w:rPr>
          <w:rFonts w:ascii="Arial" w:hAnsi="Arial" w:cs="Arial"/>
        </w:rPr>
      </w:pPr>
    </w:p>
    <w:p w14:paraId="78ADCDA9" w14:textId="5EAB2DEE" w:rsidR="000736D2" w:rsidRPr="003E1C04" w:rsidRDefault="000736D2" w:rsidP="00AC4C5F">
      <w:pPr>
        <w:pStyle w:val="ListParagraph"/>
        <w:numPr>
          <w:ilvl w:val="0"/>
          <w:numId w:val="1"/>
        </w:numPr>
        <w:rPr>
          <w:rFonts w:ascii="Arial" w:hAnsi="Arial" w:cs="Arial"/>
        </w:rPr>
      </w:pPr>
      <w:r w:rsidRPr="003E1C04">
        <w:rPr>
          <w:rFonts w:ascii="Arial" w:hAnsi="Arial" w:cs="Arial"/>
        </w:rPr>
        <w:t xml:space="preserve">Following the success of this year’s conference in January, the date for the next LGA annual Local Government Finance Conference has been confirmed. It will be held on Tuesday 9 January 2019 at 18 Smith Square. The focus of the conference will be the </w:t>
      </w:r>
      <w:r w:rsidR="00550F70">
        <w:rPr>
          <w:rFonts w:ascii="Arial" w:hAnsi="Arial" w:cs="Arial"/>
        </w:rPr>
        <w:t xml:space="preserve">2019 </w:t>
      </w:r>
      <w:r w:rsidRPr="003E1C04">
        <w:rPr>
          <w:rFonts w:ascii="Arial" w:hAnsi="Arial" w:cs="Arial"/>
        </w:rPr>
        <w:t>Spending Review, the Fair Funding Review and further Business Rates Retention.</w:t>
      </w:r>
    </w:p>
    <w:p w14:paraId="4F249954" w14:textId="77777777" w:rsidR="00504406" w:rsidRPr="00504406" w:rsidRDefault="00504406" w:rsidP="00AC4C5F">
      <w:pPr>
        <w:rPr>
          <w:rFonts w:ascii="Arial" w:hAnsi="Arial" w:cs="Arial"/>
        </w:rPr>
      </w:pPr>
    </w:p>
    <w:p w14:paraId="1CAC3322" w14:textId="77777777" w:rsidR="004C3803" w:rsidRPr="002048CA" w:rsidRDefault="004C3803" w:rsidP="00AC4C5F">
      <w:pPr>
        <w:rPr>
          <w:rFonts w:ascii="Arial" w:hAnsi="Arial" w:cs="Arial"/>
          <w:b/>
          <w:bCs/>
        </w:rPr>
      </w:pPr>
      <w:r w:rsidRPr="0B50786C">
        <w:rPr>
          <w:rFonts w:ascii="Arial" w:hAnsi="Arial" w:cs="Arial"/>
          <w:b/>
          <w:bCs/>
        </w:rPr>
        <w:t xml:space="preserve">Implications for Wales </w:t>
      </w:r>
    </w:p>
    <w:p w14:paraId="153258F9" w14:textId="77777777" w:rsidR="004C3803" w:rsidRPr="002048CA" w:rsidRDefault="004C3803" w:rsidP="00AC4C5F">
      <w:pPr>
        <w:rPr>
          <w:rFonts w:ascii="Arial" w:hAnsi="Arial" w:cs="Arial"/>
          <w:b/>
          <w:szCs w:val="22"/>
        </w:rPr>
      </w:pPr>
    </w:p>
    <w:p w14:paraId="478C1615" w14:textId="0758A031" w:rsidR="004C3803" w:rsidRPr="00822B6A" w:rsidRDefault="004C3803" w:rsidP="00AC4C5F">
      <w:pPr>
        <w:pStyle w:val="ListParagraph"/>
        <w:numPr>
          <w:ilvl w:val="0"/>
          <w:numId w:val="1"/>
        </w:numPr>
        <w:contextualSpacing/>
        <w:rPr>
          <w:rFonts w:ascii="Arial" w:hAnsi="Arial" w:cs="Arial"/>
        </w:rPr>
      </w:pPr>
      <w:r w:rsidRPr="00822B6A">
        <w:rPr>
          <w:rFonts w:ascii="Arial" w:hAnsi="Arial" w:cs="Arial"/>
        </w:rPr>
        <w:t xml:space="preserve">There are no direct implications for Wales arising from </w:t>
      </w:r>
      <w:r w:rsidR="00AC63E8" w:rsidRPr="00822B6A">
        <w:rPr>
          <w:rFonts w:ascii="Arial" w:hAnsi="Arial" w:cs="Arial"/>
        </w:rPr>
        <w:t>business rates retention</w:t>
      </w:r>
      <w:r w:rsidR="00550F70">
        <w:rPr>
          <w:rFonts w:ascii="Arial" w:hAnsi="Arial" w:cs="Arial"/>
        </w:rPr>
        <w:t>,</w:t>
      </w:r>
      <w:r w:rsidR="00AC63E8" w:rsidRPr="00822B6A">
        <w:rPr>
          <w:rFonts w:ascii="Arial" w:hAnsi="Arial" w:cs="Arial"/>
        </w:rPr>
        <w:t xml:space="preserve"> the Fair Funding R</w:t>
      </w:r>
      <w:r w:rsidR="00822B6A">
        <w:rPr>
          <w:rFonts w:ascii="Arial" w:hAnsi="Arial" w:cs="Arial"/>
        </w:rPr>
        <w:t>ev</w:t>
      </w:r>
      <w:r w:rsidR="00AC63E8" w:rsidRPr="00822B6A">
        <w:rPr>
          <w:rFonts w:ascii="Arial" w:hAnsi="Arial" w:cs="Arial"/>
        </w:rPr>
        <w:t>iew</w:t>
      </w:r>
      <w:r w:rsidR="00550F70">
        <w:rPr>
          <w:rFonts w:ascii="Arial" w:hAnsi="Arial" w:cs="Arial"/>
        </w:rPr>
        <w:t>,</w:t>
      </w:r>
      <w:r w:rsidR="003D3E95" w:rsidRPr="00822B6A">
        <w:rPr>
          <w:rFonts w:ascii="Arial" w:hAnsi="Arial" w:cs="Arial"/>
        </w:rPr>
        <w:t xml:space="preserve"> </w:t>
      </w:r>
      <w:r w:rsidR="00BA75E7" w:rsidRPr="00822B6A">
        <w:rPr>
          <w:rFonts w:ascii="Arial" w:hAnsi="Arial" w:cs="Arial"/>
        </w:rPr>
        <w:t xml:space="preserve">the </w:t>
      </w:r>
      <w:proofErr w:type="spellStart"/>
      <w:r w:rsidR="00BA75E7" w:rsidRPr="00822B6A">
        <w:rPr>
          <w:rFonts w:ascii="Arial" w:hAnsi="Arial" w:cs="Arial"/>
        </w:rPr>
        <w:t>Cipfa</w:t>
      </w:r>
      <w:proofErr w:type="spellEnd"/>
      <w:r w:rsidR="00BA75E7" w:rsidRPr="00822B6A">
        <w:rPr>
          <w:rFonts w:ascii="Arial" w:hAnsi="Arial" w:cs="Arial"/>
        </w:rPr>
        <w:t xml:space="preserve"> </w:t>
      </w:r>
      <w:r w:rsidR="00822B6A">
        <w:rPr>
          <w:rFonts w:ascii="Arial" w:hAnsi="Arial" w:cs="Arial"/>
        </w:rPr>
        <w:t xml:space="preserve">statement on investments </w:t>
      </w:r>
      <w:r w:rsidR="00BA75E7" w:rsidRPr="00822B6A">
        <w:rPr>
          <w:rFonts w:ascii="Arial" w:hAnsi="Arial" w:cs="Arial"/>
        </w:rPr>
        <w:t xml:space="preserve">and the IFRS statutory </w:t>
      </w:r>
      <w:r w:rsidR="003D3E95" w:rsidRPr="00822B6A">
        <w:rPr>
          <w:rFonts w:ascii="Arial" w:hAnsi="Arial" w:cs="Arial"/>
        </w:rPr>
        <w:t xml:space="preserve">override </w:t>
      </w:r>
      <w:r w:rsidR="00550F70">
        <w:rPr>
          <w:rFonts w:ascii="Arial" w:hAnsi="Arial" w:cs="Arial"/>
        </w:rPr>
        <w:t xml:space="preserve">as these </w:t>
      </w:r>
      <w:r w:rsidR="00BA75E7" w:rsidRPr="00822B6A">
        <w:rPr>
          <w:rFonts w:ascii="Arial" w:hAnsi="Arial" w:cs="Arial"/>
        </w:rPr>
        <w:t>are for England only</w:t>
      </w:r>
      <w:r w:rsidRPr="00822B6A">
        <w:rPr>
          <w:rFonts w:ascii="Arial" w:hAnsi="Arial" w:cs="Arial"/>
        </w:rPr>
        <w:t xml:space="preserve">. </w:t>
      </w:r>
      <w:r w:rsidR="00550F70">
        <w:rPr>
          <w:rFonts w:ascii="Arial" w:hAnsi="Arial" w:cs="Arial"/>
        </w:rPr>
        <w:t xml:space="preserve">We will liaise with the Welsh LGA over the 2019 Spending Review. </w:t>
      </w:r>
      <w:r w:rsidRPr="00822B6A">
        <w:rPr>
          <w:rFonts w:ascii="Arial" w:hAnsi="Arial" w:cs="Arial"/>
        </w:rPr>
        <w:t xml:space="preserve">The distribution of funding to Welsh local authorities is a devolved matter in Wales. </w:t>
      </w:r>
    </w:p>
    <w:p w14:paraId="579D41E3" w14:textId="77777777" w:rsidR="004C3803" w:rsidRDefault="004C3803" w:rsidP="00AC4C5F">
      <w:pPr>
        <w:contextualSpacing/>
        <w:rPr>
          <w:rFonts w:ascii="Arial" w:hAnsi="Arial" w:cs="Arial"/>
          <w:b/>
          <w:bCs/>
        </w:rPr>
      </w:pPr>
    </w:p>
    <w:p w14:paraId="2FC047B6" w14:textId="6E294911" w:rsidR="00483785" w:rsidRPr="002048CA" w:rsidRDefault="0B50786C" w:rsidP="00AC4C5F">
      <w:pPr>
        <w:contextualSpacing/>
        <w:rPr>
          <w:rFonts w:ascii="Arial" w:hAnsi="Arial" w:cs="Arial"/>
          <w:b/>
          <w:bCs/>
        </w:rPr>
      </w:pPr>
      <w:r w:rsidRPr="0B50786C">
        <w:rPr>
          <w:rFonts w:ascii="Arial" w:hAnsi="Arial" w:cs="Arial"/>
          <w:b/>
          <w:bCs/>
        </w:rPr>
        <w:t>Financial implications</w:t>
      </w:r>
    </w:p>
    <w:p w14:paraId="7E3FBC57" w14:textId="77777777" w:rsidR="00483785" w:rsidRPr="002048CA" w:rsidRDefault="00483785" w:rsidP="00AC4C5F">
      <w:pPr>
        <w:contextualSpacing/>
        <w:rPr>
          <w:rFonts w:ascii="Arial" w:hAnsi="Arial" w:cs="Arial"/>
          <w:b/>
        </w:rPr>
      </w:pPr>
    </w:p>
    <w:p w14:paraId="2E633B83" w14:textId="321E8B58" w:rsidR="00935031" w:rsidRDefault="00DE06FF" w:rsidP="00AC4C5F">
      <w:pPr>
        <w:pStyle w:val="ListParagraph"/>
        <w:numPr>
          <w:ilvl w:val="0"/>
          <w:numId w:val="1"/>
        </w:numPr>
        <w:contextualSpacing/>
        <w:rPr>
          <w:rFonts w:ascii="Arial" w:hAnsi="Arial" w:cs="Arial"/>
        </w:rPr>
      </w:pPr>
      <w:r>
        <w:rPr>
          <w:rFonts w:ascii="Arial" w:hAnsi="Arial" w:cs="Arial"/>
        </w:rPr>
        <w:t>Members of Leadership Board have previously approved spending of LGA reserves on the LGA work programme on the Fair Funding Review</w:t>
      </w:r>
      <w:r w:rsidR="00504406">
        <w:rPr>
          <w:rFonts w:ascii="Arial" w:hAnsi="Arial" w:cs="Arial"/>
        </w:rPr>
        <w:t xml:space="preserve"> and commi</w:t>
      </w:r>
      <w:r w:rsidR="009E561E">
        <w:rPr>
          <w:rFonts w:ascii="Arial" w:hAnsi="Arial" w:cs="Arial"/>
        </w:rPr>
        <w:t>ssioning of a B</w:t>
      </w:r>
      <w:r w:rsidR="00504406">
        <w:rPr>
          <w:rFonts w:ascii="Arial" w:hAnsi="Arial" w:cs="Arial"/>
        </w:rPr>
        <w:t xml:space="preserve">usiness </w:t>
      </w:r>
      <w:r w:rsidR="009E561E">
        <w:rPr>
          <w:rFonts w:ascii="Arial" w:hAnsi="Arial" w:cs="Arial"/>
        </w:rPr>
        <w:t xml:space="preserve">Rates Retention </w:t>
      </w:r>
      <w:r w:rsidR="00504406">
        <w:rPr>
          <w:rFonts w:ascii="Arial" w:hAnsi="Arial" w:cs="Arial"/>
        </w:rPr>
        <w:t>model</w:t>
      </w:r>
      <w:r>
        <w:rPr>
          <w:rFonts w:ascii="Arial" w:hAnsi="Arial" w:cs="Arial"/>
        </w:rPr>
        <w:t xml:space="preserve">. </w:t>
      </w:r>
    </w:p>
    <w:p w14:paraId="2813BCB3" w14:textId="77777777" w:rsidR="00504406" w:rsidRDefault="00504406" w:rsidP="00AC4C5F">
      <w:pPr>
        <w:pStyle w:val="ListParagraph"/>
        <w:ind w:left="360"/>
        <w:contextualSpacing/>
        <w:rPr>
          <w:rFonts w:ascii="Arial" w:hAnsi="Arial" w:cs="Arial"/>
        </w:rPr>
      </w:pPr>
    </w:p>
    <w:p w14:paraId="6AE7941C" w14:textId="51F272A6" w:rsidR="00E76BCF" w:rsidRDefault="00935031" w:rsidP="00AC4C5F">
      <w:pPr>
        <w:pStyle w:val="ListParagraph"/>
        <w:numPr>
          <w:ilvl w:val="0"/>
          <w:numId w:val="1"/>
        </w:numPr>
        <w:contextualSpacing/>
        <w:rPr>
          <w:rFonts w:ascii="Arial" w:hAnsi="Arial" w:cs="Arial"/>
        </w:rPr>
      </w:pPr>
      <w:r w:rsidRPr="00ED561E">
        <w:rPr>
          <w:rFonts w:ascii="Arial" w:hAnsi="Arial" w:cs="Arial"/>
        </w:rPr>
        <w:t xml:space="preserve">Other </w:t>
      </w:r>
      <w:r w:rsidR="0B50786C" w:rsidRPr="00ED561E">
        <w:rPr>
          <w:rFonts w:ascii="Arial" w:hAnsi="Arial" w:cs="Arial"/>
        </w:rPr>
        <w:t xml:space="preserve">work </w:t>
      </w:r>
      <w:r w:rsidRPr="00ED561E">
        <w:rPr>
          <w:rFonts w:ascii="Arial" w:hAnsi="Arial" w:cs="Arial"/>
        </w:rPr>
        <w:t xml:space="preserve">outlined in the paper above </w:t>
      </w:r>
      <w:r w:rsidR="0B50786C" w:rsidRPr="00ED561E">
        <w:rPr>
          <w:rFonts w:ascii="Arial" w:hAnsi="Arial" w:cs="Arial"/>
        </w:rPr>
        <w:t xml:space="preserve">is part of the LGA’s core programme of work and as such has been budgeted for in </w:t>
      </w:r>
      <w:r w:rsidR="005C071A" w:rsidRPr="00ED561E">
        <w:rPr>
          <w:rFonts w:ascii="Arial" w:hAnsi="Arial" w:cs="Arial"/>
        </w:rPr>
        <w:t>the 2018/19 budget.</w:t>
      </w:r>
    </w:p>
    <w:p w14:paraId="206084B7" w14:textId="77777777" w:rsidR="00A500BA" w:rsidRPr="00A500BA" w:rsidRDefault="00A500BA" w:rsidP="00A500BA">
      <w:pPr>
        <w:pStyle w:val="ListParagraph"/>
        <w:rPr>
          <w:rFonts w:ascii="Arial" w:hAnsi="Arial" w:cs="Arial"/>
        </w:rPr>
      </w:pPr>
    </w:p>
    <w:p w14:paraId="26CCF85B" w14:textId="77777777" w:rsidR="00A500BA" w:rsidRDefault="00A500BA" w:rsidP="00A500BA">
      <w:pPr>
        <w:contextualSpacing/>
        <w:rPr>
          <w:rFonts w:ascii="Arial" w:hAnsi="Arial" w:cs="Arial"/>
        </w:rPr>
      </w:pPr>
    </w:p>
    <w:p w14:paraId="403CB9DB" w14:textId="77777777" w:rsidR="00A500BA" w:rsidRDefault="00A500BA" w:rsidP="00A500BA">
      <w:pPr>
        <w:contextualSpacing/>
        <w:rPr>
          <w:rFonts w:ascii="Arial" w:hAnsi="Arial" w:cs="Arial"/>
        </w:rPr>
      </w:pPr>
    </w:p>
    <w:p w14:paraId="74B2EC75" w14:textId="77777777" w:rsidR="00A500BA" w:rsidRDefault="00A500BA" w:rsidP="00A500BA">
      <w:pPr>
        <w:contextualSpacing/>
        <w:rPr>
          <w:rFonts w:ascii="Arial" w:hAnsi="Arial" w:cs="Arial"/>
        </w:rPr>
      </w:pPr>
    </w:p>
    <w:p w14:paraId="0F2645E9" w14:textId="77777777" w:rsidR="00A500BA" w:rsidRDefault="00A500BA" w:rsidP="00A500BA">
      <w:pPr>
        <w:contextualSpacing/>
        <w:rPr>
          <w:rFonts w:ascii="Arial" w:hAnsi="Arial" w:cs="Arial"/>
        </w:rPr>
      </w:pPr>
    </w:p>
    <w:p w14:paraId="4A54A36E" w14:textId="77777777" w:rsidR="00A500BA" w:rsidRDefault="00A500BA" w:rsidP="00A500BA">
      <w:pPr>
        <w:contextualSpacing/>
        <w:rPr>
          <w:rFonts w:ascii="Arial" w:hAnsi="Arial" w:cs="Arial"/>
        </w:rPr>
      </w:pPr>
    </w:p>
    <w:p w14:paraId="2C0E9E1C" w14:textId="77777777" w:rsidR="00A500BA" w:rsidRDefault="00A500BA" w:rsidP="00A500BA">
      <w:pPr>
        <w:contextualSpacing/>
        <w:rPr>
          <w:rFonts w:ascii="Arial" w:hAnsi="Arial" w:cs="Arial"/>
        </w:rPr>
      </w:pPr>
    </w:p>
    <w:p w14:paraId="47D46845" w14:textId="77777777" w:rsidR="00A500BA" w:rsidRDefault="00A500BA" w:rsidP="00A500BA">
      <w:pPr>
        <w:contextualSpacing/>
        <w:rPr>
          <w:rFonts w:ascii="Arial" w:hAnsi="Arial" w:cs="Arial"/>
        </w:rPr>
      </w:pPr>
    </w:p>
    <w:p w14:paraId="3AB0FF93" w14:textId="77777777" w:rsidR="00A500BA" w:rsidRDefault="00A500BA" w:rsidP="00A500BA">
      <w:pPr>
        <w:contextualSpacing/>
        <w:rPr>
          <w:rFonts w:ascii="Arial" w:hAnsi="Arial" w:cs="Arial"/>
        </w:rPr>
      </w:pPr>
    </w:p>
    <w:p w14:paraId="33498272" w14:textId="77777777" w:rsidR="00A500BA" w:rsidRDefault="00A500BA" w:rsidP="00A500BA">
      <w:pPr>
        <w:contextualSpacing/>
        <w:rPr>
          <w:rFonts w:ascii="Arial" w:hAnsi="Arial" w:cs="Arial"/>
        </w:rPr>
      </w:pPr>
    </w:p>
    <w:p w14:paraId="261E134D" w14:textId="77777777" w:rsidR="00A500BA" w:rsidRDefault="00A500BA" w:rsidP="00A500BA">
      <w:pPr>
        <w:contextualSpacing/>
        <w:rPr>
          <w:rFonts w:ascii="Arial" w:hAnsi="Arial" w:cs="Arial"/>
        </w:rPr>
      </w:pPr>
    </w:p>
    <w:p w14:paraId="6AD73A2D" w14:textId="77777777" w:rsidR="00A500BA" w:rsidRDefault="00A500BA" w:rsidP="00A500BA">
      <w:pPr>
        <w:contextualSpacing/>
        <w:rPr>
          <w:rFonts w:ascii="Arial" w:hAnsi="Arial" w:cs="Arial"/>
        </w:rPr>
      </w:pPr>
    </w:p>
    <w:p w14:paraId="5DDFBBF1" w14:textId="77777777" w:rsidR="00A500BA" w:rsidRDefault="00A500BA" w:rsidP="00A500BA">
      <w:pPr>
        <w:contextualSpacing/>
        <w:rPr>
          <w:rFonts w:ascii="Arial" w:hAnsi="Arial" w:cs="Arial"/>
        </w:rPr>
      </w:pPr>
    </w:p>
    <w:p w14:paraId="6B3A0675" w14:textId="77777777" w:rsidR="00A500BA" w:rsidRDefault="00A500BA" w:rsidP="00A500BA">
      <w:pPr>
        <w:contextualSpacing/>
        <w:rPr>
          <w:rFonts w:ascii="Arial" w:hAnsi="Arial" w:cs="Arial"/>
        </w:rPr>
      </w:pPr>
    </w:p>
    <w:p w14:paraId="2C16A4A6" w14:textId="77777777" w:rsidR="00A500BA" w:rsidRDefault="00A500BA" w:rsidP="00A500BA">
      <w:pPr>
        <w:contextualSpacing/>
        <w:rPr>
          <w:rFonts w:ascii="Arial" w:hAnsi="Arial" w:cs="Arial"/>
        </w:rPr>
      </w:pPr>
    </w:p>
    <w:p w14:paraId="7BB74EBD" w14:textId="77777777" w:rsidR="00A500BA" w:rsidRDefault="00A500BA" w:rsidP="00A500BA">
      <w:pPr>
        <w:contextualSpacing/>
        <w:rPr>
          <w:rFonts w:ascii="Arial" w:hAnsi="Arial" w:cs="Arial"/>
        </w:rPr>
      </w:pPr>
    </w:p>
    <w:p w14:paraId="4254B214" w14:textId="77777777" w:rsidR="00A500BA" w:rsidRDefault="00A500BA" w:rsidP="00A500BA">
      <w:pPr>
        <w:contextualSpacing/>
        <w:rPr>
          <w:rFonts w:ascii="Arial" w:hAnsi="Arial" w:cs="Arial"/>
        </w:rPr>
      </w:pPr>
    </w:p>
    <w:p w14:paraId="46408833" w14:textId="77777777" w:rsidR="00A500BA" w:rsidRDefault="00A500BA" w:rsidP="00A500BA">
      <w:pPr>
        <w:contextualSpacing/>
        <w:rPr>
          <w:rFonts w:ascii="Arial" w:hAnsi="Arial" w:cs="Arial"/>
        </w:rPr>
      </w:pPr>
    </w:p>
    <w:p w14:paraId="34B5EBB0" w14:textId="77777777" w:rsidR="00A500BA" w:rsidRDefault="00A500BA" w:rsidP="00A500BA">
      <w:pPr>
        <w:contextualSpacing/>
        <w:rPr>
          <w:rFonts w:ascii="Arial" w:hAnsi="Arial" w:cs="Arial"/>
        </w:rPr>
      </w:pPr>
    </w:p>
    <w:p w14:paraId="421F8CA3" w14:textId="77777777" w:rsidR="00A500BA" w:rsidRDefault="00A500BA" w:rsidP="00A500BA">
      <w:pPr>
        <w:contextualSpacing/>
        <w:rPr>
          <w:rFonts w:ascii="Arial" w:hAnsi="Arial" w:cs="Arial"/>
        </w:rPr>
      </w:pPr>
    </w:p>
    <w:p w14:paraId="4F6330EA" w14:textId="77777777" w:rsidR="00A500BA" w:rsidRDefault="00A500BA" w:rsidP="00A500BA">
      <w:pPr>
        <w:contextualSpacing/>
        <w:rPr>
          <w:rFonts w:ascii="Arial" w:hAnsi="Arial" w:cs="Arial"/>
        </w:rPr>
      </w:pPr>
    </w:p>
    <w:p w14:paraId="2B5869D6" w14:textId="77777777" w:rsidR="00A500BA" w:rsidRDefault="00A500BA" w:rsidP="00A500BA">
      <w:pPr>
        <w:contextualSpacing/>
        <w:rPr>
          <w:rFonts w:ascii="Arial" w:hAnsi="Arial" w:cs="Arial"/>
        </w:rPr>
      </w:pPr>
    </w:p>
    <w:p w14:paraId="79E0EEA3" w14:textId="77777777" w:rsidR="00A500BA" w:rsidRDefault="00A500BA" w:rsidP="00A500BA">
      <w:pPr>
        <w:contextualSpacing/>
        <w:rPr>
          <w:rFonts w:ascii="Arial" w:hAnsi="Arial" w:cs="Arial"/>
        </w:rPr>
      </w:pPr>
    </w:p>
    <w:p w14:paraId="565A3277" w14:textId="77777777" w:rsidR="00A500BA" w:rsidRDefault="00A500BA" w:rsidP="00A500BA">
      <w:pPr>
        <w:contextualSpacing/>
        <w:rPr>
          <w:rFonts w:ascii="Arial" w:hAnsi="Arial" w:cs="Arial"/>
        </w:rPr>
      </w:pPr>
    </w:p>
    <w:p w14:paraId="43A4E6D2" w14:textId="77777777" w:rsidR="00A500BA" w:rsidRDefault="00A500BA" w:rsidP="00A500BA">
      <w:pPr>
        <w:jc w:val="both"/>
        <w:rPr>
          <w:rFonts w:ascii="Arial" w:hAnsi="Arial" w:cs="Arial"/>
          <w:b/>
          <w:sz w:val="28"/>
          <w:u w:val="single"/>
        </w:rPr>
      </w:pPr>
    </w:p>
    <w:p w14:paraId="578D0EA8" w14:textId="77777777" w:rsidR="00A500BA" w:rsidRDefault="00A500BA" w:rsidP="00A500BA">
      <w:pPr>
        <w:jc w:val="both"/>
        <w:rPr>
          <w:rFonts w:ascii="Arial" w:hAnsi="Arial" w:cs="Arial"/>
          <w:b/>
          <w:sz w:val="28"/>
          <w:u w:val="single"/>
        </w:rPr>
      </w:pPr>
      <w:r>
        <w:rPr>
          <w:rFonts w:ascii="Arial" w:hAnsi="Arial" w:cs="Arial"/>
          <w:b/>
          <w:sz w:val="28"/>
          <w:u w:val="single"/>
        </w:rPr>
        <w:lastRenderedPageBreak/>
        <w:t>Annex A – High-level Progress Update on the LGA Fair Funding Review and Business Rates Retention Work Programme</w:t>
      </w:r>
    </w:p>
    <w:p w14:paraId="59782629" w14:textId="77777777" w:rsidR="00A500BA" w:rsidRDefault="00A500BA" w:rsidP="00A500BA">
      <w:pPr>
        <w:jc w:val="both"/>
        <w:rPr>
          <w:rFonts w:ascii="Arial" w:hAnsi="Arial"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5386"/>
        <w:gridCol w:w="2835"/>
      </w:tblGrid>
      <w:tr w:rsidR="00A500BA" w14:paraId="284CCB62" w14:textId="77777777" w:rsidTr="00A500BA">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15CD8A5" w14:textId="77777777" w:rsidR="00A500BA" w:rsidRDefault="00A500BA">
            <w:pPr>
              <w:spacing w:line="256" w:lineRule="auto"/>
              <w:jc w:val="both"/>
              <w:rPr>
                <w:rFonts w:ascii="Arial" w:hAnsi="Arial" w:cs="Arial"/>
                <w:b/>
                <w:bCs/>
                <w:lang w:eastAsia="en-US"/>
              </w:rPr>
            </w:pPr>
            <w:r>
              <w:rPr>
                <w:rFonts w:ascii="Arial" w:hAnsi="Arial" w:cs="Arial"/>
                <w:b/>
                <w:bCs/>
                <w:lang w:eastAsia="en-US"/>
              </w:rPr>
              <w:t>Project</w:t>
            </w:r>
          </w:p>
        </w:tc>
        <w:tc>
          <w:tcPr>
            <w:tcW w:w="538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11F02569" w14:textId="77777777" w:rsidR="00A500BA" w:rsidRDefault="00A500BA">
            <w:pPr>
              <w:spacing w:line="256" w:lineRule="auto"/>
              <w:jc w:val="both"/>
              <w:rPr>
                <w:rFonts w:ascii="Arial" w:hAnsi="Arial" w:cs="Arial"/>
                <w:b/>
                <w:bCs/>
                <w:lang w:eastAsia="en-US"/>
              </w:rPr>
            </w:pPr>
            <w:r>
              <w:rPr>
                <w:rFonts w:ascii="Arial" w:hAnsi="Arial" w:cs="Arial"/>
                <w:b/>
                <w:bCs/>
                <w:lang w:eastAsia="en-US"/>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44D7DD2C" w14:textId="77777777" w:rsidR="00A500BA" w:rsidRDefault="00A500BA">
            <w:pPr>
              <w:spacing w:line="256" w:lineRule="auto"/>
              <w:jc w:val="both"/>
              <w:rPr>
                <w:rFonts w:ascii="Arial" w:hAnsi="Arial" w:cs="Arial"/>
                <w:b/>
                <w:bCs/>
                <w:lang w:eastAsia="en-US"/>
              </w:rPr>
            </w:pPr>
            <w:r>
              <w:rPr>
                <w:rFonts w:ascii="Arial" w:hAnsi="Arial" w:cs="Arial"/>
                <w:b/>
                <w:bCs/>
                <w:lang w:eastAsia="en-US"/>
              </w:rPr>
              <w:t>Quick update</w:t>
            </w:r>
          </w:p>
        </w:tc>
      </w:tr>
      <w:tr w:rsidR="00A500BA" w14:paraId="2ADDA682" w14:textId="77777777" w:rsidTr="00A500BA">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345BF" w14:textId="77777777" w:rsidR="00A500BA" w:rsidRDefault="00A500BA">
            <w:pPr>
              <w:spacing w:line="256" w:lineRule="auto"/>
              <w:rPr>
                <w:rFonts w:ascii="Arial" w:hAnsi="Arial" w:cs="Arial"/>
                <w:b/>
                <w:lang w:eastAsia="en-US"/>
              </w:rPr>
            </w:pPr>
            <w:r>
              <w:rPr>
                <w:rFonts w:ascii="Arial" w:hAnsi="Arial" w:cs="Arial"/>
                <w:b/>
                <w:lang w:eastAsia="en-US"/>
              </w:rPr>
              <w:t xml:space="preserve">Criteria for assessing proposed distribution models and methodologies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5376D61" w14:textId="77777777" w:rsidR="00A500BA" w:rsidRDefault="00A500BA">
            <w:pPr>
              <w:spacing w:line="256" w:lineRule="auto"/>
              <w:rPr>
                <w:rFonts w:ascii="Arial" w:hAnsi="Arial" w:cs="Arial"/>
                <w:lang w:eastAsia="en-US"/>
              </w:rPr>
            </w:pPr>
            <w:r>
              <w:rPr>
                <w:rFonts w:ascii="Arial" w:hAnsi="Arial" w:cs="Arial"/>
                <w:lang w:eastAsia="en-US"/>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A6BF688" w14:textId="77777777" w:rsidR="00A500BA" w:rsidRDefault="00A500BA">
            <w:pPr>
              <w:spacing w:line="256" w:lineRule="auto"/>
              <w:rPr>
                <w:rFonts w:ascii="Arial" w:hAnsi="Arial" w:cs="Arial"/>
                <w:lang w:eastAsia="en-US"/>
              </w:rPr>
            </w:pPr>
            <w:hyperlink r:id="rId26" w:history="1">
              <w:r>
                <w:rPr>
                  <w:rStyle w:val="Hyperlink"/>
                  <w:rFonts w:ascii="Arial" w:hAnsi="Arial" w:cs="Arial"/>
                  <w:lang w:eastAsia="en-US"/>
                </w:rPr>
                <w:t>Complete</w:t>
              </w:r>
            </w:hyperlink>
          </w:p>
        </w:tc>
      </w:tr>
      <w:tr w:rsidR="00A500BA" w14:paraId="530E0ABC" w14:textId="77777777" w:rsidTr="00A500BA">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9A0AC" w14:textId="77777777" w:rsidR="00A500BA" w:rsidRDefault="00A500BA">
            <w:pPr>
              <w:spacing w:line="256" w:lineRule="auto"/>
              <w:rPr>
                <w:rFonts w:ascii="Arial" w:hAnsi="Arial" w:cs="Arial"/>
                <w:b/>
                <w:lang w:eastAsia="en-US"/>
              </w:rPr>
            </w:pPr>
            <w:r>
              <w:rPr>
                <w:rFonts w:ascii="Arial" w:hAnsi="Arial" w:cs="Arial"/>
                <w:b/>
                <w:lang w:eastAsia="en-US"/>
              </w:rPr>
              <w:t>Formula grant: update the data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67A598FC" w14:textId="77777777" w:rsidR="00A500BA" w:rsidRDefault="00A500BA">
            <w:pPr>
              <w:spacing w:line="256" w:lineRule="auto"/>
              <w:rPr>
                <w:rFonts w:ascii="Arial" w:hAnsi="Arial" w:cs="Arial"/>
                <w:lang w:eastAsia="en-US"/>
              </w:rPr>
            </w:pPr>
            <w:r>
              <w:rPr>
                <w:rFonts w:ascii="Arial" w:hAnsi="Arial" w:cs="Arial"/>
                <w:lang w:eastAsia="en-US"/>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56EAE5B8" w14:textId="77777777" w:rsidR="00A500BA" w:rsidRDefault="00A500BA">
            <w:pPr>
              <w:spacing w:line="256" w:lineRule="auto"/>
              <w:rPr>
                <w:rFonts w:ascii="Arial" w:hAnsi="Arial" w:cs="Arial"/>
                <w:lang w:eastAsia="en-US"/>
              </w:rPr>
            </w:pPr>
          </w:p>
          <w:p w14:paraId="0C7BAC72" w14:textId="77777777" w:rsidR="00A500BA" w:rsidRDefault="00A500BA">
            <w:pPr>
              <w:spacing w:line="256" w:lineRule="auto"/>
              <w:rPr>
                <w:rFonts w:ascii="Arial" w:hAnsi="Arial" w:cs="Arial"/>
                <w:lang w:eastAsia="en-US"/>
              </w:rPr>
            </w:pPr>
            <w:r>
              <w:rPr>
                <w:rFonts w:ascii="Arial" w:hAnsi="Arial" w:cs="Arial"/>
                <w:lang w:eastAsia="en-US"/>
              </w:rPr>
              <w:t>To help the LGA and member authorities form policy on the data used in the formulae and the 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F935AC4" w14:textId="77777777" w:rsidR="00A500BA" w:rsidRDefault="00A500BA">
            <w:pPr>
              <w:spacing w:line="256" w:lineRule="auto"/>
              <w:rPr>
                <w:rFonts w:ascii="Arial" w:hAnsi="Arial" w:cs="Arial"/>
                <w:lang w:eastAsia="en-US"/>
              </w:rPr>
            </w:pPr>
            <w:hyperlink r:id="rId27" w:history="1">
              <w:r>
                <w:rPr>
                  <w:rStyle w:val="Hyperlink"/>
                  <w:rFonts w:ascii="Arial" w:hAnsi="Arial" w:cs="Arial"/>
                  <w:lang w:eastAsia="en-US"/>
                </w:rPr>
                <w:t>Complete</w:t>
              </w:r>
            </w:hyperlink>
          </w:p>
        </w:tc>
      </w:tr>
      <w:tr w:rsidR="00A500BA" w14:paraId="717F1D2B" w14:textId="77777777" w:rsidTr="00A500BA">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EC01D" w14:textId="77777777" w:rsidR="00A500BA" w:rsidRDefault="00A500BA">
            <w:pPr>
              <w:spacing w:line="256" w:lineRule="auto"/>
              <w:rPr>
                <w:rFonts w:ascii="Arial" w:hAnsi="Arial" w:cs="Arial"/>
                <w:b/>
                <w:lang w:eastAsia="en-US"/>
              </w:rPr>
            </w:pPr>
            <w:r>
              <w:rPr>
                <w:rFonts w:ascii="Arial" w:hAnsi="Arial" w:cs="Arial"/>
                <w:b/>
                <w:lang w:eastAsia="en-US"/>
              </w:rPr>
              <w:t>Distribution model: develop a distribution model</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1CDCEF01" w14:textId="77777777" w:rsidR="00A500BA" w:rsidRDefault="00A500BA">
            <w:pPr>
              <w:spacing w:line="256" w:lineRule="auto"/>
              <w:rPr>
                <w:rFonts w:ascii="Arial" w:hAnsi="Arial" w:cs="Arial"/>
                <w:lang w:eastAsia="en-US"/>
              </w:rPr>
            </w:pPr>
            <w:r>
              <w:rPr>
                <w:rFonts w:ascii="Arial" w:hAnsi="Arial" w:cs="Arial"/>
                <w:lang w:eastAsia="en-US"/>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2C9C45D" w14:textId="77777777" w:rsidR="00A500BA" w:rsidRDefault="00A500BA">
            <w:pPr>
              <w:spacing w:line="256" w:lineRule="auto"/>
              <w:rPr>
                <w:rFonts w:ascii="Arial" w:hAnsi="Arial" w:cs="Arial"/>
                <w:lang w:eastAsia="en-US"/>
              </w:rPr>
            </w:pPr>
            <w:hyperlink r:id="rId28" w:history="1">
              <w:r>
                <w:rPr>
                  <w:rStyle w:val="Hyperlink"/>
                  <w:rFonts w:ascii="Arial" w:hAnsi="Arial" w:cs="Arial"/>
                  <w:lang w:eastAsia="en-US"/>
                </w:rPr>
                <w:t>Complete</w:t>
              </w:r>
            </w:hyperlink>
          </w:p>
        </w:tc>
      </w:tr>
      <w:tr w:rsidR="00A500BA" w14:paraId="232CA545" w14:textId="77777777" w:rsidTr="00A500BA">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EDE5A" w14:textId="77777777" w:rsidR="00A500BA" w:rsidRDefault="00A500BA">
            <w:pPr>
              <w:spacing w:line="256" w:lineRule="auto"/>
              <w:rPr>
                <w:rFonts w:ascii="Arial" w:hAnsi="Arial" w:cs="Arial"/>
                <w:b/>
                <w:lang w:eastAsia="en-US"/>
              </w:rPr>
            </w:pPr>
            <w:r>
              <w:rPr>
                <w:rFonts w:ascii="Arial" w:hAnsi="Arial" w:cs="Arial"/>
                <w:b/>
                <w:lang w:eastAsia="en-US"/>
              </w:rPr>
              <w:t>Council tax equalisation: develop a model</w:t>
            </w:r>
          </w:p>
          <w:p w14:paraId="67F4F38A" w14:textId="77777777" w:rsidR="00A500BA" w:rsidRDefault="00A500BA">
            <w:pPr>
              <w:spacing w:line="256" w:lineRule="auto"/>
              <w:rPr>
                <w:rFonts w:ascii="Arial" w:hAnsi="Arial" w:cs="Arial"/>
                <w:b/>
                <w:lang w:eastAsia="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B2FF4F6" w14:textId="77777777" w:rsidR="00A500BA" w:rsidRDefault="00A500BA">
            <w:pPr>
              <w:spacing w:line="256" w:lineRule="auto"/>
              <w:rPr>
                <w:rFonts w:ascii="Arial" w:hAnsi="Arial" w:cs="Arial"/>
                <w:lang w:eastAsia="en-US"/>
              </w:rPr>
            </w:pPr>
            <w:r>
              <w:rPr>
                <w:rFonts w:ascii="Arial" w:hAnsi="Arial" w:cs="Arial"/>
                <w:lang w:eastAsia="en-US"/>
              </w:rPr>
              <w:t>A model to identify the impact of adjustments for council tax and council tax support on individual authorities.</w:t>
            </w:r>
          </w:p>
          <w:p w14:paraId="39D55690" w14:textId="77777777" w:rsidR="00A500BA" w:rsidRDefault="00A500BA">
            <w:pPr>
              <w:spacing w:line="256" w:lineRule="auto"/>
              <w:rPr>
                <w:rFonts w:ascii="Arial" w:hAnsi="Arial" w:cs="Arial"/>
                <w:lang w:eastAsia="en-US"/>
              </w:rPr>
            </w:pPr>
            <w:r>
              <w:rPr>
                <w:rFonts w:ascii="Arial" w:hAnsi="Arial" w:cs="Arial"/>
                <w:lang w:eastAsia="en-US"/>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86699F2" w14:textId="77777777" w:rsidR="00A500BA" w:rsidRDefault="00A500BA">
            <w:pPr>
              <w:spacing w:line="256" w:lineRule="auto"/>
              <w:rPr>
                <w:rFonts w:ascii="Arial" w:hAnsi="Arial" w:cs="Arial"/>
                <w:lang w:eastAsia="en-US"/>
              </w:rPr>
            </w:pPr>
            <w:hyperlink r:id="rId29" w:history="1">
              <w:r>
                <w:rPr>
                  <w:rStyle w:val="Hyperlink"/>
                  <w:rFonts w:ascii="Arial" w:hAnsi="Arial" w:cs="Arial"/>
                  <w:lang w:eastAsia="en-US"/>
                </w:rPr>
                <w:t>Complete</w:t>
              </w:r>
            </w:hyperlink>
          </w:p>
        </w:tc>
      </w:tr>
      <w:tr w:rsidR="00A500BA" w14:paraId="5CBC9AD1" w14:textId="77777777" w:rsidTr="00A500BA">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2CCFF11" w14:textId="77777777" w:rsidR="00A500BA" w:rsidRDefault="00A500BA">
            <w:pPr>
              <w:spacing w:line="256" w:lineRule="auto"/>
              <w:rPr>
                <w:rFonts w:ascii="Arial" w:hAnsi="Arial" w:cs="Arial"/>
                <w:b/>
                <w:lang w:eastAsia="en-US"/>
              </w:rPr>
            </w:pPr>
            <w:r>
              <w:rPr>
                <w:rFonts w:ascii="Arial" w:hAnsi="Arial" w:cs="Arial"/>
                <w:b/>
                <w:lang w:eastAsia="en-US"/>
              </w:rPr>
              <w:t>Damping</w:t>
            </w:r>
          </w:p>
          <w:p w14:paraId="0D61EF18" w14:textId="77777777" w:rsidR="00A500BA" w:rsidRDefault="00A500BA">
            <w:pPr>
              <w:spacing w:line="256" w:lineRule="auto"/>
              <w:rPr>
                <w:rFonts w:ascii="Arial" w:hAnsi="Arial" w:cs="Arial"/>
                <w:b/>
                <w:lang w:eastAsia="en-US"/>
              </w:rPr>
            </w:pPr>
            <w:r>
              <w:rPr>
                <w:rFonts w:ascii="Arial" w:hAnsi="Arial" w:cs="Arial"/>
                <w:b/>
                <w:lang w:eastAsia="en-US"/>
              </w:rPr>
              <w:t xml:space="preserve">/transition mechanisms </w:t>
            </w:r>
          </w:p>
        </w:tc>
        <w:tc>
          <w:tcPr>
            <w:tcW w:w="53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11E1CE1" w14:textId="77777777" w:rsidR="00A500BA" w:rsidRDefault="00A500BA">
            <w:pPr>
              <w:spacing w:line="256" w:lineRule="auto"/>
              <w:rPr>
                <w:rFonts w:ascii="Arial" w:hAnsi="Arial" w:cs="Arial"/>
                <w:lang w:eastAsia="en-US"/>
              </w:rPr>
            </w:pPr>
            <w:r>
              <w:rPr>
                <w:rFonts w:ascii="Arial" w:hAnsi="Arial" w:cs="Arial"/>
                <w:lang w:eastAsia="en-US"/>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B468DD8" w14:textId="77777777" w:rsidR="00A500BA" w:rsidRDefault="00A500BA">
            <w:pPr>
              <w:spacing w:line="256" w:lineRule="auto"/>
              <w:rPr>
                <w:rFonts w:ascii="Arial" w:hAnsi="Arial" w:cs="Arial"/>
                <w:lang w:eastAsia="en-US"/>
              </w:rPr>
            </w:pPr>
            <w:r>
              <w:rPr>
                <w:rFonts w:ascii="Arial" w:hAnsi="Arial" w:cs="Arial"/>
                <w:lang w:eastAsia="en-US"/>
              </w:rPr>
              <w:t>Suppliers appointed; work expected to be delivered in 2018.</w:t>
            </w:r>
          </w:p>
        </w:tc>
      </w:tr>
      <w:tr w:rsidR="00A500BA" w14:paraId="1A15E9C0" w14:textId="77777777" w:rsidTr="00A500BA">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A8C3957" w14:textId="77777777" w:rsidR="00A500BA" w:rsidRDefault="00A500BA">
            <w:pPr>
              <w:spacing w:line="256" w:lineRule="auto"/>
              <w:rPr>
                <w:rFonts w:ascii="Arial" w:hAnsi="Arial" w:cs="Arial"/>
                <w:b/>
                <w:lang w:eastAsia="en-US"/>
              </w:rPr>
            </w:pPr>
            <w:r>
              <w:rPr>
                <w:rFonts w:ascii="Arial" w:hAnsi="Arial" w:cs="Arial"/>
                <w:b/>
                <w:lang w:eastAsia="en-US"/>
              </w:rPr>
              <w:lastRenderedPageBreak/>
              <w:t>Business Rates Retention model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0808A4A" w14:textId="77777777" w:rsidR="00A500BA" w:rsidRDefault="00A500BA">
            <w:pPr>
              <w:spacing w:line="256" w:lineRule="auto"/>
              <w:rPr>
                <w:rFonts w:ascii="Arial" w:hAnsi="Arial" w:cs="Arial"/>
                <w:lang w:eastAsia="en-US"/>
              </w:rPr>
            </w:pPr>
            <w:r>
              <w:rPr>
                <w:rFonts w:ascii="Arial" w:hAnsi="Arial" w:cs="Arial"/>
                <w:lang w:eastAsia="en-US"/>
              </w:rPr>
              <w:t>A model to enable LGA and local authorities to assess the impact of system design choices in areas including:</w:t>
            </w:r>
          </w:p>
          <w:p w14:paraId="5E45D787" w14:textId="77777777" w:rsidR="00A500BA" w:rsidRDefault="00A500BA" w:rsidP="00A500BA">
            <w:pPr>
              <w:numPr>
                <w:ilvl w:val="0"/>
                <w:numId w:val="25"/>
              </w:numPr>
              <w:spacing w:line="256" w:lineRule="auto"/>
              <w:contextualSpacing/>
              <w:rPr>
                <w:rFonts w:ascii="Arial" w:hAnsi="Arial" w:cs="Arial"/>
                <w:lang w:eastAsia="en-US"/>
              </w:rPr>
            </w:pPr>
            <w:r>
              <w:rPr>
                <w:rFonts w:ascii="Arial" w:hAnsi="Arial" w:cs="Arial"/>
                <w:lang w:eastAsia="en-US"/>
              </w:rPr>
              <w:t>The setting of business rates baselines;</w:t>
            </w:r>
          </w:p>
          <w:p w14:paraId="386A3B0C" w14:textId="77777777" w:rsidR="00A500BA" w:rsidRDefault="00A500BA" w:rsidP="00A500BA">
            <w:pPr>
              <w:numPr>
                <w:ilvl w:val="0"/>
                <w:numId w:val="25"/>
              </w:numPr>
              <w:spacing w:line="256" w:lineRule="auto"/>
              <w:contextualSpacing/>
              <w:rPr>
                <w:rFonts w:ascii="Arial" w:hAnsi="Arial" w:cs="Arial"/>
                <w:lang w:eastAsia="en-US"/>
              </w:rPr>
            </w:pPr>
            <w:r>
              <w:rPr>
                <w:rFonts w:ascii="Arial" w:hAnsi="Arial" w:cs="Arial"/>
                <w:lang w:eastAsia="en-US"/>
              </w:rPr>
              <w:t>The extent and frequency of business rates resets;</w:t>
            </w:r>
          </w:p>
          <w:p w14:paraId="5E681AF7" w14:textId="77777777" w:rsidR="00A500BA" w:rsidRDefault="00A500BA" w:rsidP="00A500BA">
            <w:pPr>
              <w:numPr>
                <w:ilvl w:val="0"/>
                <w:numId w:val="25"/>
              </w:numPr>
              <w:spacing w:line="256" w:lineRule="auto"/>
              <w:contextualSpacing/>
              <w:rPr>
                <w:rFonts w:ascii="Arial" w:hAnsi="Arial" w:cs="Arial"/>
                <w:lang w:eastAsia="en-US"/>
              </w:rPr>
            </w:pPr>
            <w:r>
              <w:rPr>
                <w:rFonts w:ascii="Arial" w:hAnsi="Arial" w:cs="Arial"/>
                <w:lang w:eastAsia="en-US"/>
              </w:rPr>
              <w:t>Dealing with losses due to appeals;</w:t>
            </w:r>
          </w:p>
          <w:p w14:paraId="5ADF6D3D" w14:textId="77777777" w:rsidR="00A500BA" w:rsidRDefault="00A500BA" w:rsidP="00A500BA">
            <w:pPr>
              <w:numPr>
                <w:ilvl w:val="0"/>
                <w:numId w:val="25"/>
              </w:numPr>
              <w:spacing w:line="256" w:lineRule="auto"/>
              <w:contextualSpacing/>
              <w:rPr>
                <w:rFonts w:ascii="Arial" w:hAnsi="Arial" w:cs="Arial"/>
                <w:lang w:eastAsia="en-US"/>
              </w:rPr>
            </w:pPr>
            <w:r>
              <w:rPr>
                <w:rFonts w:ascii="Arial" w:hAnsi="Arial" w:cs="Arial"/>
                <w:lang w:eastAsia="en-US"/>
              </w:rPr>
              <w:t>The level of the safety net and how it is funded; and</w:t>
            </w:r>
          </w:p>
          <w:p w14:paraId="486EB27F" w14:textId="77777777" w:rsidR="00A500BA" w:rsidRDefault="00A500BA" w:rsidP="00A500BA">
            <w:pPr>
              <w:numPr>
                <w:ilvl w:val="0"/>
                <w:numId w:val="25"/>
              </w:numPr>
              <w:spacing w:line="256" w:lineRule="auto"/>
              <w:contextualSpacing/>
              <w:rPr>
                <w:rFonts w:ascii="Arial" w:hAnsi="Arial" w:cs="Arial"/>
                <w:lang w:eastAsia="en-US"/>
              </w:rPr>
            </w:pPr>
            <w:r>
              <w:rPr>
                <w:rFonts w:ascii="Arial" w:hAnsi="Arial" w:cs="Arial"/>
                <w:lang w:eastAsia="en-US"/>
              </w:rPr>
              <w:t>The split of business rates income in two-tier areas.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9C29D35" w14:textId="77777777" w:rsidR="00A500BA" w:rsidRDefault="00A500BA">
            <w:pPr>
              <w:spacing w:line="256" w:lineRule="auto"/>
              <w:rPr>
                <w:rFonts w:ascii="Arial" w:hAnsi="Arial" w:cs="Arial"/>
                <w:lang w:eastAsia="en-US"/>
              </w:rPr>
            </w:pPr>
            <w:hyperlink r:id="rId30" w:history="1">
              <w:r>
                <w:rPr>
                  <w:rStyle w:val="Hyperlink"/>
                  <w:rFonts w:ascii="Arial" w:hAnsi="Arial" w:cs="Arial"/>
                  <w:lang w:eastAsia="en-US"/>
                </w:rPr>
                <w:t>Complete</w:t>
              </w:r>
            </w:hyperlink>
          </w:p>
        </w:tc>
      </w:tr>
    </w:tbl>
    <w:p w14:paraId="55B52904" w14:textId="77777777" w:rsidR="00A500BA" w:rsidRDefault="00A500BA" w:rsidP="00A500BA">
      <w:pPr>
        <w:jc w:val="both"/>
        <w:rPr>
          <w:rFonts w:ascii="Arial" w:hAnsi="Arial" w:cs="Arial"/>
          <w:b/>
        </w:rPr>
      </w:pPr>
    </w:p>
    <w:p w14:paraId="5D4EEA87" w14:textId="77777777" w:rsidR="00A500BA" w:rsidRPr="00A500BA" w:rsidRDefault="00A500BA" w:rsidP="00A500BA">
      <w:pPr>
        <w:contextualSpacing/>
        <w:rPr>
          <w:rFonts w:ascii="Arial" w:hAnsi="Arial" w:cs="Arial"/>
        </w:rPr>
      </w:pPr>
    </w:p>
    <w:sectPr w:rsidR="00A500BA" w:rsidRPr="00A500BA" w:rsidSect="00A500BA">
      <w:pgSz w:w="11906" w:h="16838"/>
      <w:pgMar w:top="1440" w:right="1440" w:bottom="1134"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F6E13" w16cid:durableId="1F90251C"/>
  <w16cid:commentId w16cid:paraId="68E83AAA" w16cid:durableId="1F9023CB"/>
  <w16cid:commentId w16cid:paraId="271A8A5D" w16cid:durableId="1F9023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FC8EE" w14:textId="77777777" w:rsidR="007A3FD3" w:rsidRDefault="007A3FD3">
      <w:r>
        <w:separator/>
      </w:r>
    </w:p>
  </w:endnote>
  <w:endnote w:type="continuationSeparator" w:id="0">
    <w:p w14:paraId="122594BF" w14:textId="77777777" w:rsidR="007A3FD3" w:rsidRDefault="007A3FD3">
      <w:r>
        <w:continuationSeparator/>
      </w:r>
    </w:p>
  </w:endnote>
  <w:endnote w:type="continuationNotice" w:id="1">
    <w:p w14:paraId="060AC37C" w14:textId="77777777" w:rsidR="007A3FD3" w:rsidRDefault="007A3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Frutiger 55 Roma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7A3FD3" w:rsidRDefault="007A3FD3">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B275E" w14:textId="77777777" w:rsidR="007A3FD3" w:rsidRDefault="007A3FD3">
      <w:r>
        <w:separator/>
      </w:r>
    </w:p>
  </w:footnote>
  <w:footnote w:type="continuationSeparator" w:id="0">
    <w:p w14:paraId="330DAD11" w14:textId="77777777" w:rsidR="007A3FD3" w:rsidRDefault="007A3FD3">
      <w:r>
        <w:continuationSeparator/>
      </w:r>
    </w:p>
  </w:footnote>
  <w:footnote w:type="continuationNotice" w:id="1">
    <w:p w14:paraId="77B5AB59" w14:textId="77777777" w:rsidR="007A3FD3" w:rsidRDefault="007A3F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7A3FD3" w:rsidRDefault="007A3FD3" w:rsidP="00E70FB6">
    <w:pPr>
      <w:pStyle w:val="Header"/>
    </w:pPr>
  </w:p>
  <w:tbl>
    <w:tblPr>
      <w:tblW w:w="0" w:type="auto"/>
      <w:tblLook w:val="01E0" w:firstRow="1" w:lastRow="1" w:firstColumn="1" w:lastColumn="1" w:noHBand="0" w:noVBand="0"/>
    </w:tblPr>
    <w:tblGrid>
      <w:gridCol w:w="5850"/>
      <w:gridCol w:w="3221"/>
    </w:tblGrid>
    <w:tr w:rsidR="00E70FB6" w:rsidRPr="004F266E" w14:paraId="4A658F32" w14:textId="77777777" w:rsidTr="007C4509">
      <w:tc>
        <w:tcPr>
          <w:tcW w:w="5920" w:type="dxa"/>
          <w:vMerge w:val="restart"/>
          <w:shd w:val="clear" w:color="auto" w:fill="auto"/>
        </w:tcPr>
        <w:p w14:paraId="7DACAF78" w14:textId="77777777" w:rsidR="00E70FB6" w:rsidRPr="00374227" w:rsidRDefault="00E70FB6" w:rsidP="00E70FB6">
          <w:pPr>
            <w:pStyle w:val="Header"/>
            <w:tabs>
              <w:tab w:val="clear" w:pos="4153"/>
              <w:tab w:val="clear" w:pos="8306"/>
              <w:tab w:val="center" w:pos="2923"/>
            </w:tabs>
          </w:pPr>
          <w:r>
            <w:rPr>
              <w:noProof/>
            </w:rPr>
            <w:drawing>
              <wp:inline distT="0" distB="0" distL="0" distR="0" wp14:anchorId="17752537" wp14:editId="04215EDD">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64D49503" w14:textId="77777777" w:rsidR="00E70FB6" w:rsidRPr="00E7702B" w:rsidRDefault="00E70FB6" w:rsidP="00E70FB6">
          <w:pPr>
            <w:pStyle w:val="Header"/>
            <w:rPr>
              <w:rFonts w:ascii="Arial" w:hAnsi="Arial" w:cs="Arial"/>
              <w:b/>
              <w:bCs/>
              <w:i/>
              <w:iCs/>
            </w:rPr>
          </w:pPr>
          <w:r>
            <w:rPr>
              <w:rFonts w:ascii="Arial" w:hAnsi="Arial" w:cs="Arial"/>
              <w:b/>
              <w:bCs/>
            </w:rPr>
            <w:t>Resources Board</w:t>
          </w:r>
          <w:r w:rsidRPr="0B50786C">
            <w:rPr>
              <w:rFonts w:ascii="Arial" w:hAnsi="Arial" w:cs="Arial"/>
              <w:i/>
              <w:iCs/>
            </w:rPr>
            <w:t xml:space="preserve"> </w:t>
          </w:r>
        </w:p>
      </w:tc>
    </w:tr>
    <w:tr w:rsidR="00E70FB6" w14:paraId="038F6B48" w14:textId="77777777" w:rsidTr="007C4509">
      <w:trPr>
        <w:trHeight w:val="450"/>
      </w:trPr>
      <w:tc>
        <w:tcPr>
          <w:tcW w:w="5920" w:type="dxa"/>
          <w:vMerge/>
          <w:shd w:val="clear" w:color="auto" w:fill="auto"/>
        </w:tcPr>
        <w:p w14:paraId="35335BB7" w14:textId="77777777" w:rsidR="00E70FB6" w:rsidRPr="00374227" w:rsidRDefault="00E70FB6" w:rsidP="00E70FB6">
          <w:pPr>
            <w:pStyle w:val="Header"/>
          </w:pPr>
        </w:p>
      </w:tc>
      <w:tc>
        <w:tcPr>
          <w:tcW w:w="3260" w:type="dxa"/>
          <w:shd w:val="clear" w:color="auto" w:fill="auto"/>
          <w:vAlign w:val="center"/>
        </w:tcPr>
        <w:p w14:paraId="0E523A33" w14:textId="77777777" w:rsidR="00E70FB6" w:rsidRPr="00374227" w:rsidRDefault="00E70FB6" w:rsidP="00E70FB6">
          <w:pPr>
            <w:pStyle w:val="Header"/>
            <w:spacing w:before="60"/>
            <w:rPr>
              <w:rFonts w:ascii="Arial" w:hAnsi="Arial" w:cs="Arial"/>
            </w:rPr>
          </w:pPr>
          <w:r>
            <w:rPr>
              <w:rFonts w:ascii="Arial" w:hAnsi="Arial" w:cs="Arial"/>
            </w:rPr>
            <w:t>22 November</w:t>
          </w:r>
          <w:r w:rsidRPr="0B50786C">
            <w:rPr>
              <w:rFonts w:ascii="Arial" w:hAnsi="Arial" w:cs="Arial"/>
            </w:rPr>
            <w:t xml:space="preserve"> 2018 </w:t>
          </w:r>
        </w:p>
      </w:tc>
    </w:tr>
    <w:tr w:rsidR="00E70FB6" w:rsidRPr="004F266E" w14:paraId="15AF6912" w14:textId="77777777" w:rsidTr="007C4509">
      <w:trPr>
        <w:trHeight w:val="708"/>
      </w:trPr>
      <w:tc>
        <w:tcPr>
          <w:tcW w:w="5920" w:type="dxa"/>
          <w:vMerge/>
          <w:shd w:val="clear" w:color="auto" w:fill="auto"/>
        </w:tcPr>
        <w:p w14:paraId="301357D6" w14:textId="77777777" w:rsidR="00E70FB6" w:rsidRPr="00374227" w:rsidRDefault="00E70FB6" w:rsidP="00E70FB6">
          <w:pPr>
            <w:pStyle w:val="Header"/>
          </w:pPr>
        </w:p>
      </w:tc>
      <w:tc>
        <w:tcPr>
          <w:tcW w:w="3260" w:type="dxa"/>
          <w:shd w:val="clear" w:color="auto" w:fill="auto"/>
          <w:vAlign w:val="center"/>
        </w:tcPr>
        <w:p w14:paraId="711D8CCC" w14:textId="77777777" w:rsidR="00E70FB6" w:rsidRPr="00374227" w:rsidRDefault="00E70FB6" w:rsidP="00E70FB6">
          <w:pPr>
            <w:pStyle w:val="Header"/>
            <w:spacing w:before="60"/>
            <w:rPr>
              <w:rFonts w:ascii="Arial" w:hAnsi="Arial" w:cs="Arial"/>
              <w:b/>
              <w:bCs/>
            </w:rPr>
          </w:pPr>
        </w:p>
      </w:tc>
    </w:tr>
  </w:tbl>
  <w:p w14:paraId="073B0147" w14:textId="77777777" w:rsidR="00E70FB6" w:rsidRPr="00E70FB6" w:rsidRDefault="00E70FB6" w:rsidP="00E70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7A3FD3" w:rsidRDefault="007A3FD3" w:rsidP="00765850">
    <w:pPr>
      <w:pStyle w:val="Header"/>
      <w:rPr>
        <w:sz w:val="2"/>
      </w:rPr>
    </w:pPr>
  </w:p>
  <w:p w14:paraId="3E8322C2" w14:textId="77777777" w:rsidR="007A3FD3" w:rsidRDefault="007A3FD3"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7A3FD3" w:rsidRPr="001D2C76" w14:paraId="3E8322C5" w14:textId="77777777" w:rsidTr="0B50786C">
      <w:tc>
        <w:tcPr>
          <w:tcW w:w="6062" w:type="dxa"/>
          <w:vMerge w:val="restart"/>
        </w:tcPr>
        <w:p w14:paraId="3E8322C3" w14:textId="77777777" w:rsidR="007A3FD3" w:rsidRDefault="007A3FD3"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7A3FD3" w:rsidRPr="001D2C76" w:rsidRDefault="007A3FD3" w:rsidP="0B50786C">
          <w:pPr>
            <w:pStyle w:val="Header"/>
            <w:rPr>
              <w:b/>
              <w:bCs/>
            </w:rPr>
          </w:pPr>
          <w:r w:rsidRPr="0B50786C">
            <w:rPr>
              <w:rFonts w:ascii="Arial" w:hAnsi="Arial" w:cs="Arial"/>
              <w:b/>
              <w:bCs/>
              <w:sz w:val="24"/>
              <w:szCs w:val="24"/>
            </w:rPr>
            <w:t>Meeting title</w:t>
          </w:r>
        </w:p>
      </w:tc>
    </w:tr>
    <w:tr w:rsidR="007A3FD3" w14:paraId="3E8322C8" w14:textId="77777777" w:rsidTr="0B50786C">
      <w:trPr>
        <w:trHeight w:val="450"/>
      </w:trPr>
      <w:tc>
        <w:tcPr>
          <w:tcW w:w="6062" w:type="dxa"/>
          <w:vMerge/>
        </w:tcPr>
        <w:p w14:paraId="3E8322C6" w14:textId="77777777" w:rsidR="007A3FD3" w:rsidRDefault="007A3FD3" w:rsidP="00765850">
          <w:pPr>
            <w:pStyle w:val="Header"/>
          </w:pPr>
        </w:p>
      </w:tc>
      <w:tc>
        <w:tcPr>
          <w:tcW w:w="3225" w:type="dxa"/>
        </w:tcPr>
        <w:p w14:paraId="3E8322C7" w14:textId="77777777" w:rsidR="007A3FD3" w:rsidRDefault="007A3FD3" w:rsidP="00765850">
          <w:pPr>
            <w:pStyle w:val="Header"/>
            <w:spacing w:before="60"/>
          </w:pPr>
          <w:r w:rsidRPr="0B50786C">
            <w:rPr>
              <w:rFonts w:ascii="Arial" w:hAnsi="Arial" w:cs="Arial"/>
              <w:sz w:val="24"/>
              <w:szCs w:val="24"/>
            </w:rPr>
            <w:t xml:space="preserve">Meeting date </w:t>
          </w:r>
        </w:p>
      </w:tc>
    </w:tr>
    <w:tr w:rsidR="007A3FD3" w14:paraId="3E8322CC" w14:textId="77777777" w:rsidTr="0B50786C">
      <w:trPr>
        <w:trHeight w:val="450"/>
      </w:trPr>
      <w:tc>
        <w:tcPr>
          <w:tcW w:w="6062" w:type="dxa"/>
          <w:vMerge/>
        </w:tcPr>
        <w:p w14:paraId="3E8322C9" w14:textId="77777777" w:rsidR="007A3FD3" w:rsidRDefault="007A3FD3" w:rsidP="00765850">
          <w:pPr>
            <w:pStyle w:val="Header"/>
          </w:pPr>
        </w:p>
      </w:tc>
      <w:tc>
        <w:tcPr>
          <w:tcW w:w="3225" w:type="dxa"/>
        </w:tcPr>
        <w:p w14:paraId="3E8322CA" w14:textId="77777777" w:rsidR="007A3FD3" w:rsidRDefault="007A3FD3" w:rsidP="00765850">
          <w:pPr>
            <w:pStyle w:val="Header"/>
            <w:spacing w:before="60"/>
            <w:rPr>
              <w:rFonts w:ascii="Arial" w:hAnsi="Arial" w:cs="Arial"/>
              <w:b/>
              <w:sz w:val="24"/>
              <w:szCs w:val="24"/>
            </w:rPr>
          </w:pPr>
        </w:p>
        <w:p w14:paraId="3E8322CB" w14:textId="77777777" w:rsidR="007A3FD3" w:rsidRPr="00546D0D" w:rsidRDefault="007A3FD3"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7A3FD3" w:rsidRDefault="007A3FD3"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7C1"/>
    <w:multiLevelType w:val="multilevel"/>
    <w:tmpl w:val="34E83A38"/>
    <w:lvl w:ilvl="0">
      <w:start w:val="25"/>
      <w:numFmt w:val="decimal"/>
      <w:lvlText w:val="%1."/>
      <w:lvlJc w:val="left"/>
      <w:pPr>
        <w:tabs>
          <w:tab w:val="num" w:pos="720"/>
        </w:tabs>
        <w:ind w:left="720" w:hanging="360"/>
      </w:pPr>
    </w:lvl>
    <w:lvl w:ilvl="1">
      <w:start w:val="2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01785"/>
    <w:multiLevelType w:val="multilevel"/>
    <w:tmpl w:val="177C6C12"/>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EB55C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CE20D2"/>
    <w:multiLevelType w:val="hybridMultilevel"/>
    <w:tmpl w:val="C43E1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C31B9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0"/>
  </w:num>
  <w:num w:numId="3">
    <w:abstractNumId w:val="17"/>
  </w:num>
  <w:num w:numId="4">
    <w:abstractNumId w:val="15"/>
  </w:num>
  <w:num w:numId="5">
    <w:abstractNumId w:val="7"/>
  </w:num>
  <w:num w:numId="6">
    <w:abstractNumId w:val="8"/>
  </w:num>
  <w:num w:numId="7">
    <w:abstractNumId w:val="19"/>
  </w:num>
  <w:num w:numId="8">
    <w:abstractNumId w:val="21"/>
  </w:num>
  <w:num w:numId="9">
    <w:abstractNumId w:val="6"/>
  </w:num>
  <w:num w:numId="10">
    <w:abstractNumId w:val="1"/>
  </w:num>
  <w:num w:numId="11">
    <w:abstractNumId w:val="13"/>
  </w:num>
  <w:num w:numId="12">
    <w:abstractNumId w:val="22"/>
  </w:num>
  <w:num w:numId="13">
    <w:abstractNumId w:val="16"/>
  </w:num>
  <w:num w:numId="14">
    <w:abstractNumId w:val="12"/>
  </w:num>
  <w:num w:numId="15">
    <w:abstractNumId w:val="11"/>
  </w:num>
  <w:num w:numId="16">
    <w:abstractNumId w:val="23"/>
  </w:num>
  <w:num w:numId="17">
    <w:abstractNumId w:val="4"/>
  </w:num>
  <w:num w:numId="18">
    <w:abstractNumId w:val="5"/>
  </w:num>
  <w:num w:numId="19">
    <w:abstractNumId w:val="2"/>
  </w:num>
  <w:num w:numId="20">
    <w:abstractNumId w:val="18"/>
  </w:num>
  <w:num w:numId="21">
    <w:abstractNumId w:val="10"/>
  </w:num>
  <w:num w:numId="22">
    <w:abstractNumId w:val="9"/>
  </w:num>
  <w:num w:numId="23">
    <w:abstractNumId w:val="3"/>
  </w:num>
  <w:num w:numId="24">
    <w:abstractNumId w:val="0"/>
  </w:num>
  <w:num w:numId="2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111D5"/>
    <w:rsid w:val="00011311"/>
    <w:rsid w:val="00015DB1"/>
    <w:rsid w:val="0001754D"/>
    <w:rsid w:val="00020C26"/>
    <w:rsid w:val="00026B5D"/>
    <w:rsid w:val="00026EF5"/>
    <w:rsid w:val="0002722E"/>
    <w:rsid w:val="00033D53"/>
    <w:rsid w:val="00035A9D"/>
    <w:rsid w:val="00040FC4"/>
    <w:rsid w:val="00044788"/>
    <w:rsid w:val="00045E33"/>
    <w:rsid w:val="00045EA7"/>
    <w:rsid w:val="0004771E"/>
    <w:rsid w:val="00052E14"/>
    <w:rsid w:val="000536B2"/>
    <w:rsid w:val="000547C1"/>
    <w:rsid w:val="000615F9"/>
    <w:rsid w:val="0006650A"/>
    <w:rsid w:val="00067747"/>
    <w:rsid w:val="0007043F"/>
    <w:rsid w:val="000711BA"/>
    <w:rsid w:val="00071FCE"/>
    <w:rsid w:val="00072C2E"/>
    <w:rsid w:val="000736D2"/>
    <w:rsid w:val="00084A70"/>
    <w:rsid w:val="00087055"/>
    <w:rsid w:val="000904FA"/>
    <w:rsid w:val="0009056D"/>
    <w:rsid w:val="000930BA"/>
    <w:rsid w:val="00095858"/>
    <w:rsid w:val="000A6C09"/>
    <w:rsid w:val="000B161F"/>
    <w:rsid w:val="000B6EEF"/>
    <w:rsid w:val="000C40A3"/>
    <w:rsid w:val="000C7673"/>
    <w:rsid w:val="000D0154"/>
    <w:rsid w:val="000D394B"/>
    <w:rsid w:val="000D7B6D"/>
    <w:rsid w:val="000E0DE9"/>
    <w:rsid w:val="000E3D0C"/>
    <w:rsid w:val="000E768B"/>
    <w:rsid w:val="000F0A18"/>
    <w:rsid w:val="000F1763"/>
    <w:rsid w:val="000F1E6D"/>
    <w:rsid w:val="000F3BB1"/>
    <w:rsid w:val="00102BFA"/>
    <w:rsid w:val="00103F21"/>
    <w:rsid w:val="00105469"/>
    <w:rsid w:val="001054EB"/>
    <w:rsid w:val="00110E60"/>
    <w:rsid w:val="001125B0"/>
    <w:rsid w:val="001140F5"/>
    <w:rsid w:val="00117323"/>
    <w:rsid w:val="00122698"/>
    <w:rsid w:val="00123DEB"/>
    <w:rsid w:val="00124A4F"/>
    <w:rsid w:val="0013030E"/>
    <w:rsid w:val="001447C2"/>
    <w:rsid w:val="001465B1"/>
    <w:rsid w:val="00163B2B"/>
    <w:rsid w:val="0016436C"/>
    <w:rsid w:val="00167CC4"/>
    <w:rsid w:val="00171294"/>
    <w:rsid w:val="001734D0"/>
    <w:rsid w:val="00184A63"/>
    <w:rsid w:val="00185D5B"/>
    <w:rsid w:val="00187AE6"/>
    <w:rsid w:val="0019312A"/>
    <w:rsid w:val="00194078"/>
    <w:rsid w:val="001940B6"/>
    <w:rsid w:val="00195DE1"/>
    <w:rsid w:val="001A4541"/>
    <w:rsid w:val="001A695D"/>
    <w:rsid w:val="001B029E"/>
    <w:rsid w:val="001B324E"/>
    <w:rsid w:val="001B36CE"/>
    <w:rsid w:val="001B7024"/>
    <w:rsid w:val="001C3AF2"/>
    <w:rsid w:val="001C5324"/>
    <w:rsid w:val="001D0510"/>
    <w:rsid w:val="001D1A36"/>
    <w:rsid w:val="001D3398"/>
    <w:rsid w:val="001D41E4"/>
    <w:rsid w:val="001D5D2A"/>
    <w:rsid w:val="001D70DE"/>
    <w:rsid w:val="001E2520"/>
    <w:rsid w:val="001E3994"/>
    <w:rsid w:val="001E48D5"/>
    <w:rsid w:val="001E720D"/>
    <w:rsid w:val="001F1FF1"/>
    <w:rsid w:val="001F2984"/>
    <w:rsid w:val="001F6C3D"/>
    <w:rsid w:val="001F6C9E"/>
    <w:rsid w:val="00201574"/>
    <w:rsid w:val="002048CA"/>
    <w:rsid w:val="00207E80"/>
    <w:rsid w:val="002110E9"/>
    <w:rsid w:val="00215E14"/>
    <w:rsid w:val="0022303A"/>
    <w:rsid w:val="0022312F"/>
    <w:rsid w:val="00226F65"/>
    <w:rsid w:val="00231AF4"/>
    <w:rsid w:val="00233856"/>
    <w:rsid w:val="00243DF2"/>
    <w:rsid w:val="00245629"/>
    <w:rsid w:val="002460A9"/>
    <w:rsid w:val="00252295"/>
    <w:rsid w:val="00252432"/>
    <w:rsid w:val="00256711"/>
    <w:rsid w:val="0025763E"/>
    <w:rsid w:val="00262568"/>
    <w:rsid w:val="002634A5"/>
    <w:rsid w:val="002637AF"/>
    <w:rsid w:val="00272225"/>
    <w:rsid w:val="002729D3"/>
    <w:rsid w:val="00274C56"/>
    <w:rsid w:val="00280DF7"/>
    <w:rsid w:val="002836B5"/>
    <w:rsid w:val="00285AEF"/>
    <w:rsid w:val="00290D12"/>
    <w:rsid w:val="002917B4"/>
    <w:rsid w:val="00297AC9"/>
    <w:rsid w:val="002A0BB1"/>
    <w:rsid w:val="002A252F"/>
    <w:rsid w:val="002A575E"/>
    <w:rsid w:val="002B3BAF"/>
    <w:rsid w:val="002B42C7"/>
    <w:rsid w:val="002C5922"/>
    <w:rsid w:val="002C7039"/>
    <w:rsid w:val="002D1196"/>
    <w:rsid w:val="002D1672"/>
    <w:rsid w:val="002E2E00"/>
    <w:rsid w:val="002E5F1B"/>
    <w:rsid w:val="002E6759"/>
    <w:rsid w:val="002E707A"/>
    <w:rsid w:val="002F090B"/>
    <w:rsid w:val="002F1803"/>
    <w:rsid w:val="002F298F"/>
    <w:rsid w:val="00302A52"/>
    <w:rsid w:val="00307F8D"/>
    <w:rsid w:val="003127D4"/>
    <w:rsid w:val="003156C1"/>
    <w:rsid w:val="00322431"/>
    <w:rsid w:val="003253C5"/>
    <w:rsid w:val="00331D2E"/>
    <w:rsid w:val="0033535E"/>
    <w:rsid w:val="003458F3"/>
    <w:rsid w:val="00345A6A"/>
    <w:rsid w:val="00350F19"/>
    <w:rsid w:val="0035509D"/>
    <w:rsid w:val="0035643B"/>
    <w:rsid w:val="00357018"/>
    <w:rsid w:val="0035725C"/>
    <w:rsid w:val="003575A3"/>
    <w:rsid w:val="00357639"/>
    <w:rsid w:val="00360B5F"/>
    <w:rsid w:val="00360C2E"/>
    <w:rsid w:val="00361686"/>
    <w:rsid w:val="00363AAD"/>
    <w:rsid w:val="00372173"/>
    <w:rsid w:val="00372524"/>
    <w:rsid w:val="003728BF"/>
    <w:rsid w:val="003762EC"/>
    <w:rsid w:val="00376E38"/>
    <w:rsid w:val="00377F81"/>
    <w:rsid w:val="003826F4"/>
    <w:rsid w:val="00384D4E"/>
    <w:rsid w:val="00384D53"/>
    <w:rsid w:val="0038643D"/>
    <w:rsid w:val="00392D69"/>
    <w:rsid w:val="00393643"/>
    <w:rsid w:val="00396602"/>
    <w:rsid w:val="00397BC9"/>
    <w:rsid w:val="003A24E7"/>
    <w:rsid w:val="003A6E6B"/>
    <w:rsid w:val="003B32C9"/>
    <w:rsid w:val="003B5F85"/>
    <w:rsid w:val="003C2EB7"/>
    <w:rsid w:val="003C466D"/>
    <w:rsid w:val="003D341C"/>
    <w:rsid w:val="003D3E95"/>
    <w:rsid w:val="003D6380"/>
    <w:rsid w:val="003E1C04"/>
    <w:rsid w:val="003E20C0"/>
    <w:rsid w:val="003E56D8"/>
    <w:rsid w:val="003F1439"/>
    <w:rsid w:val="00403E0B"/>
    <w:rsid w:val="00405CDD"/>
    <w:rsid w:val="00411823"/>
    <w:rsid w:val="00411BCD"/>
    <w:rsid w:val="004148A2"/>
    <w:rsid w:val="00414E75"/>
    <w:rsid w:val="004151C2"/>
    <w:rsid w:val="00415F53"/>
    <w:rsid w:val="00447101"/>
    <w:rsid w:val="00455B34"/>
    <w:rsid w:val="00455EE4"/>
    <w:rsid w:val="00463758"/>
    <w:rsid w:val="004644FA"/>
    <w:rsid w:val="00464D1C"/>
    <w:rsid w:val="0046729B"/>
    <w:rsid w:val="0047325D"/>
    <w:rsid w:val="00474EA7"/>
    <w:rsid w:val="00475908"/>
    <w:rsid w:val="00483184"/>
    <w:rsid w:val="00483785"/>
    <w:rsid w:val="004852BA"/>
    <w:rsid w:val="00493CE2"/>
    <w:rsid w:val="00496427"/>
    <w:rsid w:val="004A0786"/>
    <w:rsid w:val="004A1811"/>
    <w:rsid w:val="004A7598"/>
    <w:rsid w:val="004B174E"/>
    <w:rsid w:val="004B329B"/>
    <w:rsid w:val="004B3EE3"/>
    <w:rsid w:val="004B4CA9"/>
    <w:rsid w:val="004B6713"/>
    <w:rsid w:val="004C15E8"/>
    <w:rsid w:val="004C1DCF"/>
    <w:rsid w:val="004C3803"/>
    <w:rsid w:val="004D0B91"/>
    <w:rsid w:val="004D24B8"/>
    <w:rsid w:val="004D6820"/>
    <w:rsid w:val="004D7461"/>
    <w:rsid w:val="004E1E86"/>
    <w:rsid w:val="005011AD"/>
    <w:rsid w:val="0050353A"/>
    <w:rsid w:val="00504406"/>
    <w:rsid w:val="00504847"/>
    <w:rsid w:val="005074F3"/>
    <w:rsid w:val="005078B2"/>
    <w:rsid w:val="00515398"/>
    <w:rsid w:val="00526447"/>
    <w:rsid w:val="0053172D"/>
    <w:rsid w:val="00535FB6"/>
    <w:rsid w:val="0054330F"/>
    <w:rsid w:val="005465B7"/>
    <w:rsid w:val="00547744"/>
    <w:rsid w:val="00550F70"/>
    <w:rsid w:val="00554F76"/>
    <w:rsid w:val="005568B5"/>
    <w:rsid w:val="00562824"/>
    <w:rsid w:val="00567752"/>
    <w:rsid w:val="005710F5"/>
    <w:rsid w:val="00583FD2"/>
    <w:rsid w:val="00584A5A"/>
    <w:rsid w:val="0059532E"/>
    <w:rsid w:val="00595E92"/>
    <w:rsid w:val="005965AA"/>
    <w:rsid w:val="005A01EF"/>
    <w:rsid w:val="005A4192"/>
    <w:rsid w:val="005B3F02"/>
    <w:rsid w:val="005C00A6"/>
    <w:rsid w:val="005C071A"/>
    <w:rsid w:val="005C3CE3"/>
    <w:rsid w:val="005C630F"/>
    <w:rsid w:val="005C7934"/>
    <w:rsid w:val="005D7E1C"/>
    <w:rsid w:val="005E2667"/>
    <w:rsid w:val="005E3470"/>
    <w:rsid w:val="005E5B9F"/>
    <w:rsid w:val="005E61A4"/>
    <w:rsid w:val="005F126E"/>
    <w:rsid w:val="005F5C3F"/>
    <w:rsid w:val="00605B0F"/>
    <w:rsid w:val="00611B38"/>
    <w:rsid w:val="00612E8B"/>
    <w:rsid w:val="006130CA"/>
    <w:rsid w:val="00616911"/>
    <w:rsid w:val="00616B56"/>
    <w:rsid w:val="00626EFF"/>
    <w:rsid w:val="0064210A"/>
    <w:rsid w:val="00643014"/>
    <w:rsid w:val="00643A6D"/>
    <w:rsid w:val="006539AA"/>
    <w:rsid w:val="0065748B"/>
    <w:rsid w:val="00661D83"/>
    <w:rsid w:val="00675B2B"/>
    <w:rsid w:val="006760A9"/>
    <w:rsid w:val="00682B3A"/>
    <w:rsid w:val="00686998"/>
    <w:rsid w:val="00687C94"/>
    <w:rsid w:val="00691E2B"/>
    <w:rsid w:val="00697394"/>
    <w:rsid w:val="006B5B49"/>
    <w:rsid w:val="006B66B9"/>
    <w:rsid w:val="006C6C72"/>
    <w:rsid w:val="006D1560"/>
    <w:rsid w:val="006E0650"/>
    <w:rsid w:val="006E46D2"/>
    <w:rsid w:val="006E5B51"/>
    <w:rsid w:val="006E63EB"/>
    <w:rsid w:val="006F26D0"/>
    <w:rsid w:val="006F5A0F"/>
    <w:rsid w:val="006F6DB2"/>
    <w:rsid w:val="006F79FD"/>
    <w:rsid w:val="00704C09"/>
    <w:rsid w:val="007064C2"/>
    <w:rsid w:val="00706ED4"/>
    <w:rsid w:val="0070766C"/>
    <w:rsid w:val="00707CC5"/>
    <w:rsid w:val="00711811"/>
    <w:rsid w:val="00711FCA"/>
    <w:rsid w:val="00720BE8"/>
    <w:rsid w:val="00721012"/>
    <w:rsid w:val="00723CBD"/>
    <w:rsid w:val="00727092"/>
    <w:rsid w:val="0073547D"/>
    <w:rsid w:val="0073574F"/>
    <w:rsid w:val="0073658D"/>
    <w:rsid w:val="00741346"/>
    <w:rsid w:val="00755E29"/>
    <w:rsid w:val="007562C6"/>
    <w:rsid w:val="00760B1A"/>
    <w:rsid w:val="00761D39"/>
    <w:rsid w:val="00765850"/>
    <w:rsid w:val="00766459"/>
    <w:rsid w:val="00771760"/>
    <w:rsid w:val="0077233D"/>
    <w:rsid w:val="00772D46"/>
    <w:rsid w:val="007732B0"/>
    <w:rsid w:val="0077565B"/>
    <w:rsid w:val="00775D27"/>
    <w:rsid w:val="00776298"/>
    <w:rsid w:val="00776798"/>
    <w:rsid w:val="00783743"/>
    <w:rsid w:val="007845F7"/>
    <w:rsid w:val="00784A39"/>
    <w:rsid w:val="00793A69"/>
    <w:rsid w:val="00793AB3"/>
    <w:rsid w:val="00794647"/>
    <w:rsid w:val="00797462"/>
    <w:rsid w:val="007977F7"/>
    <w:rsid w:val="007A105B"/>
    <w:rsid w:val="007A1E8F"/>
    <w:rsid w:val="007A347D"/>
    <w:rsid w:val="007A3FD3"/>
    <w:rsid w:val="007A6AA2"/>
    <w:rsid w:val="007B6604"/>
    <w:rsid w:val="007C1506"/>
    <w:rsid w:val="007C5B3E"/>
    <w:rsid w:val="007D056F"/>
    <w:rsid w:val="007D4A06"/>
    <w:rsid w:val="007E26AD"/>
    <w:rsid w:val="007E7613"/>
    <w:rsid w:val="007F2A5F"/>
    <w:rsid w:val="00800E60"/>
    <w:rsid w:val="00801C74"/>
    <w:rsid w:val="00804543"/>
    <w:rsid w:val="00806D25"/>
    <w:rsid w:val="00815ACE"/>
    <w:rsid w:val="00820FF5"/>
    <w:rsid w:val="0082266F"/>
    <w:rsid w:val="00822B6A"/>
    <w:rsid w:val="00826D51"/>
    <w:rsid w:val="0083371E"/>
    <w:rsid w:val="00834D5B"/>
    <w:rsid w:val="008351C7"/>
    <w:rsid w:val="00841D53"/>
    <w:rsid w:val="00846078"/>
    <w:rsid w:val="00847C6A"/>
    <w:rsid w:val="00851ED6"/>
    <w:rsid w:val="00857A36"/>
    <w:rsid w:val="00861001"/>
    <w:rsid w:val="008732E7"/>
    <w:rsid w:val="00891AE9"/>
    <w:rsid w:val="008924D9"/>
    <w:rsid w:val="008928F2"/>
    <w:rsid w:val="00894030"/>
    <w:rsid w:val="008974A3"/>
    <w:rsid w:val="008974B1"/>
    <w:rsid w:val="008A0BE6"/>
    <w:rsid w:val="008A15AD"/>
    <w:rsid w:val="008A34D6"/>
    <w:rsid w:val="008B1A03"/>
    <w:rsid w:val="008B37DA"/>
    <w:rsid w:val="008C0E05"/>
    <w:rsid w:val="008C18E0"/>
    <w:rsid w:val="008C191A"/>
    <w:rsid w:val="008C1F9E"/>
    <w:rsid w:val="008C5EF1"/>
    <w:rsid w:val="008D0481"/>
    <w:rsid w:val="008D4B51"/>
    <w:rsid w:val="008E24CB"/>
    <w:rsid w:val="008F13CC"/>
    <w:rsid w:val="008F15D9"/>
    <w:rsid w:val="008F40B9"/>
    <w:rsid w:val="009051A0"/>
    <w:rsid w:val="00907D6C"/>
    <w:rsid w:val="00910671"/>
    <w:rsid w:val="00910D34"/>
    <w:rsid w:val="00922614"/>
    <w:rsid w:val="009255F8"/>
    <w:rsid w:val="00925721"/>
    <w:rsid w:val="00931183"/>
    <w:rsid w:val="00931E71"/>
    <w:rsid w:val="009330D3"/>
    <w:rsid w:val="00935031"/>
    <w:rsid w:val="0093598C"/>
    <w:rsid w:val="0094219A"/>
    <w:rsid w:val="00943148"/>
    <w:rsid w:val="009457B3"/>
    <w:rsid w:val="00945E25"/>
    <w:rsid w:val="009462AD"/>
    <w:rsid w:val="00957880"/>
    <w:rsid w:val="00967417"/>
    <w:rsid w:val="00970E17"/>
    <w:rsid w:val="00972A0D"/>
    <w:rsid w:val="00973971"/>
    <w:rsid w:val="00981B0B"/>
    <w:rsid w:val="0098281E"/>
    <w:rsid w:val="00983960"/>
    <w:rsid w:val="00984A11"/>
    <w:rsid w:val="00985781"/>
    <w:rsid w:val="00987354"/>
    <w:rsid w:val="00987DFC"/>
    <w:rsid w:val="00992E96"/>
    <w:rsid w:val="0099544E"/>
    <w:rsid w:val="009A38F9"/>
    <w:rsid w:val="009A3EF7"/>
    <w:rsid w:val="009A61B9"/>
    <w:rsid w:val="009B5DD2"/>
    <w:rsid w:val="009C5010"/>
    <w:rsid w:val="009C5CDB"/>
    <w:rsid w:val="009D1CF8"/>
    <w:rsid w:val="009D21ED"/>
    <w:rsid w:val="009D64EC"/>
    <w:rsid w:val="009D7B95"/>
    <w:rsid w:val="009E3119"/>
    <w:rsid w:val="009E561E"/>
    <w:rsid w:val="009E63C7"/>
    <w:rsid w:val="009F27EF"/>
    <w:rsid w:val="009F59BF"/>
    <w:rsid w:val="00A055A8"/>
    <w:rsid w:val="00A05F72"/>
    <w:rsid w:val="00A15861"/>
    <w:rsid w:val="00A17529"/>
    <w:rsid w:val="00A22E2D"/>
    <w:rsid w:val="00A23341"/>
    <w:rsid w:val="00A236A0"/>
    <w:rsid w:val="00A279DD"/>
    <w:rsid w:val="00A328E4"/>
    <w:rsid w:val="00A334A4"/>
    <w:rsid w:val="00A341D6"/>
    <w:rsid w:val="00A35F73"/>
    <w:rsid w:val="00A40FAF"/>
    <w:rsid w:val="00A500BA"/>
    <w:rsid w:val="00A50517"/>
    <w:rsid w:val="00A569C8"/>
    <w:rsid w:val="00A60C1E"/>
    <w:rsid w:val="00A720C7"/>
    <w:rsid w:val="00A7220F"/>
    <w:rsid w:val="00A72D96"/>
    <w:rsid w:val="00A73DF6"/>
    <w:rsid w:val="00A7746B"/>
    <w:rsid w:val="00A9257E"/>
    <w:rsid w:val="00A93789"/>
    <w:rsid w:val="00A93C8F"/>
    <w:rsid w:val="00A947C2"/>
    <w:rsid w:val="00A9638E"/>
    <w:rsid w:val="00AA6ED6"/>
    <w:rsid w:val="00AB16FA"/>
    <w:rsid w:val="00AC2D42"/>
    <w:rsid w:val="00AC35D7"/>
    <w:rsid w:val="00AC367C"/>
    <w:rsid w:val="00AC4C5F"/>
    <w:rsid w:val="00AC63E8"/>
    <w:rsid w:val="00AC6FD4"/>
    <w:rsid w:val="00AD1143"/>
    <w:rsid w:val="00AD742F"/>
    <w:rsid w:val="00AF562C"/>
    <w:rsid w:val="00AF7F6D"/>
    <w:rsid w:val="00B01FD3"/>
    <w:rsid w:val="00B055AB"/>
    <w:rsid w:val="00B075D9"/>
    <w:rsid w:val="00B10728"/>
    <w:rsid w:val="00B12198"/>
    <w:rsid w:val="00B14E17"/>
    <w:rsid w:val="00B215F9"/>
    <w:rsid w:val="00B2250E"/>
    <w:rsid w:val="00B23DA6"/>
    <w:rsid w:val="00B247EA"/>
    <w:rsid w:val="00B2602F"/>
    <w:rsid w:val="00B26650"/>
    <w:rsid w:val="00B27F61"/>
    <w:rsid w:val="00B31BFF"/>
    <w:rsid w:val="00B4271B"/>
    <w:rsid w:val="00B44A03"/>
    <w:rsid w:val="00B5131B"/>
    <w:rsid w:val="00B6242A"/>
    <w:rsid w:val="00B8491E"/>
    <w:rsid w:val="00B92C12"/>
    <w:rsid w:val="00B93BDE"/>
    <w:rsid w:val="00BA0B9C"/>
    <w:rsid w:val="00BA2BD2"/>
    <w:rsid w:val="00BA447F"/>
    <w:rsid w:val="00BA75E7"/>
    <w:rsid w:val="00BB1130"/>
    <w:rsid w:val="00BB78F7"/>
    <w:rsid w:val="00BC27B6"/>
    <w:rsid w:val="00BC4D97"/>
    <w:rsid w:val="00BD12CF"/>
    <w:rsid w:val="00BD1550"/>
    <w:rsid w:val="00BD1EC5"/>
    <w:rsid w:val="00BD33C0"/>
    <w:rsid w:val="00BD615A"/>
    <w:rsid w:val="00BE0F05"/>
    <w:rsid w:val="00BE13B5"/>
    <w:rsid w:val="00BE3E02"/>
    <w:rsid w:val="00BE58F2"/>
    <w:rsid w:val="00BE65F9"/>
    <w:rsid w:val="00BF0960"/>
    <w:rsid w:val="00BF2FDD"/>
    <w:rsid w:val="00BF3975"/>
    <w:rsid w:val="00BF62A4"/>
    <w:rsid w:val="00C01CBC"/>
    <w:rsid w:val="00C023EF"/>
    <w:rsid w:val="00C03562"/>
    <w:rsid w:val="00C06C62"/>
    <w:rsid w:val="00C07892"/>
    <w:rsid w:val="00C10852"/>
    <w:rsid w:val="00C12DBD"/>
    <w:rsid w:val="00C35E15"/>
    <w:rsid w:val="00C40724"/>
    <w:rsid w:val="00C44A77"/>
    <w:rsid w:val="00C44FD0"/>
    <w:rsid w:val="00C46994"/>
    <w:rsid w:val="00C500FE"/>
    <w:rsid w:val="00C57811"/>
    <w:rsid w:val="00C57F96"/>
    <w:rsid w:val="00C60083"/>
    <w:rsid w:val="00C62550"/>
    <w:rsid w:val="00C67BA9"/>
    <w:rsid w:val="00C83C08"/>
    <w:rsid w:val="00C93D54"/>
    <w:rsid w:val="00CA0FAF"/>
    <w:rsid w:val="00CA5AD6"/>
    <w:rsid w:val="00CA7C80"/>
    <w:rsid w:val="00CB2292"/>
    <w:rsid w:val="00CB23E6"/>
    <w:rsid w:val="00CB2EDA"/>
    <w:rsid w:val="00CB5A71"/>
    <w:rsid w:val="00CC2D15"/>
    <w:rsid w:val="00CC6641"/>
    <w:rsid w:val="00CD0A6A"/>
    <w:rsid w:val="00CE4E4A"/>
    <w:rsid w:val="00CE539F"/>
    <w:rsid w:val="00CF43E4"/>
    <w:rsid w:val="00CF4C3D"/>
    <w:rsid w:val="00CF4D40"/>
    <w:rsid w:val="00CF6100"/>
    <w:rsid w:val="00CF618F"/>
    <w:rsid w:val="00D0001F"/>
    <w:rsid w:val="00D011CE"/>
    <w:rsid w:val="00D133A1"/>
    <w:rsid w:val="00D146C8"/>
    <w:rsid w:val="00D14D25"/>
    <w:rsid w:val="00D21A72"/>
    <w:rsid w:val="00D23603"/>
    <w:rsid w:val="00D238F1"/>
    <w:rsid w:val="00D245B5"/>
    <w:rsid w:val="00D24C8C"/>
    <w:rsid w:val="00D30A52"/>
    <w:rsid w:val="00D36C5A"/>
    <w:rsid w:val="00D414E9"/>
    <w:rsid w:val="00D45B4D"/>
    <w:rsid w:val="00D535B5"/>
    <w:rsid w:val="00D53F1B"/>
    <w:rsid w:val="00D540E7"/>
    <w:rsid w:val="00D64A0B"/>
    <w:rsid w:val="00D711A7"/>
    <w:rsid w:val="00D716EF"/>
    <w:rsid w:val="00D74C85"/>
    <w:rsid w:val="00D7705B"/>
    <w:rsid w:val="00D80F16"/>
    <w:rsid w:val="00D85CF5"/>
    <w:rsid w:val="00D91E1D"/>
    <w:rsid w:val="00DA422E"/>
    <w:rsid w:val="00DA479A"/>
    <w:rsid w:val="00DA67CB"/>
    <w:rsid w:val="00DB4B25"/>
    <w:rsid w:val="00DD3064"/>
    <w:rsid w:val="00DE06FF"/>
    <w:rsid w:val="00DE17F5"/>
    <w:rsid w:val="00DE20FF"/>
    <w:rsid w:val="00DE42C0"/>
    <w:rsid w:val="00DF09AF"/>
    <w:rsid w:val="00DF0DB7"/>
    <w:rsid w:val="00DF3089"/>
    <w:rsid w:val="00E00CF4"/>
    <w:rsid w:val="00E00F0D"/>
    <w:rsid w:val="00E02113"/>
    <w:rsid w:val="00E05C84"/>
    <w:rsid w:val="00E06575"/>
    <w:rsid w:val="00E065DB"/>
    <w:rsid w:val="00E0711E"/>
    <w:rsid w:val="00E141C8"/>
    <w:rsid w:val="00E1448D"/>
    <w:rsid w:val="00E20742"/>
    <w:rsid w:val="00E26CE4"/>
    <w:rsid w:val="00E4050D"/>
    <w:rsid w:val="00E43C58"/>
    <w:rsid w:val="00E4588F"/>
    <w:rsid w:val="00E5572C"/>
    <w:rsid w:val="00E62567"/>
    <w:rsid w:val="00E6275F"/>
    <w:rsid w:val="00E636C6"/>
    <w:rsid w:val="00E636E2"/>
    <w:rsid w:val="00E64002"/>
    <w:rsid w:val="00E643E4"/>
    <w:rsid w:val="00E70827"/>
    <w:rsid w:val="00E70FB6"/>
    <w:rsid w:val="00E73D2D"/>
    <w:rsid w:val="00E760AB"/>
    <w:rsid w:val="00E76BCF"/>
    <w:rsid w:val="00E76DFD"/>
    <w:rsid w:val="00E77471"/>
    <w:rsid w:val="00E802DF"/>
    <w:rsid w:val="00E8044E"/>
    <w:rsid w:val="00E81B2D"/>
    <w:rsid w:val="00E81C38"/>
    <w:rsid w:val="00E83E99"/>
    <w:rsid w:val="00E914DD"/>
    <w:rsid w:val="00E940E4"/>
    <w:rsid w:val="00E96316"/>
    <w:rsid w:val="00EA15A3"/>
    <w:rsid w:val="00EA5002"/>
    <w:rsid w:val="00EB1842"/>
    <w:rsid w:val="00EB1BDF"/>
    <w:rsid w:val="00EB4CFF"/>
    <w:rsid w:val="00EC2F97"/>
    <w:rsid w:val="00EC7ED0"/>
    <w:rsid w:val="00ED14A3"/>
    <w:rsid w:val="00ED561E"/>
    <w:rsid w:val="00ED60BA"/>
    <w:rsid w:val="00EE1EC8"/>
    <w:rsid w:val="00EE6F2A"/>
    <w:rsid w:val="00EF6827"/>
    <w:rsid w:val="00F015BD"/>
    <w:rsid w:val="00F05643"/>
    <w:rsid w:val="00F116E9"/>
    <w:rsid w:val="00F135BD"/>
    <w:rsid w:val="00F212AE"/>
    <w:rsid w:val="00F246BE"/>
    <w:rsid w:val="00F30975"/>
    <w:rsid w:val="00F32277"/>
    <w:rsid w:val="00F42512"/>
    <w:rsid w:val="00F46CD5"/>
    <w:rsid w:val="00F472E6"/>
    <w:rsid w:val="00F47816"/>
    <w:rsid w:val="00F522C7"/>
    <w:rsid w:val="00F53361"/>
    <w:rsid w:val="00F6116C"/>
    <w:rsid w:val="00F71C80"/>
    <w:rsid w:val="00F75F76"/>
    <w:rsid w:val="00F76BC4"/>
    <w:rsid w:val="00F82574"/>
    <w:rsid w:val="00F83CAB"/>
    <w:rsid w:val="00F83CEE"/>
    <w:rsid w:val="00F83D41"/>
    <w:rsid w:val="00F86193"/>
    <w:rsid w:val="00F86458"/>
    <w:rsid w:val="00F93C12"/>
    <w:rsid w:val="00F965AD"/>
    <w:rsid w:val="00F97F33"/>
    <w:rsid w:val="00FA06FF"/>
    <w:rsid w:val="00FA0D7C"/>
    <w:rsid w:val="00FA4197"/>
    <w:rsid w:val="00FA4F69"/>
    <w:rsid w:val="00FB09B6"/>
    <w:rsid w:val="00FB1421"/>
    <w:rsid w:val="00FB5BE3"/>
    <w:rsid w:val="00FB68AE"/>
    <w:rsid w:val="00FC0047"/>
    <w:rsid w:val="00FC251F"/>
    <w:rsid w:val="00FD1AC2"/>
    <w:rsid w:val="00FD304C"/>
    <w:rsid w:val="00FD6AF6"/>
    <w:rsid w:val="00FE1BF3"/>
    <w:rsid w:val="00FF125B"/>
    <w:rsid w:val="00FF29E0"/>
    <w:rsid w:val="00FF49DC"/>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eop">
    <w:name w:val="eop"/>
    <w:basedOn w:val="DefaultParagraphFont"/>
    <w:rsid w:val="009D2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10149929">
      <w:bodyDiv w:val="1"/>
      <w:marLeft w:val="0"/>
      <w:marRight w:val="0"/>
      <w:marTop w:val="0"/>
      <w:marBottom w:val="0"/>
      <w:divBdr>
        <w:top w:val="none" w:sz="0" w:space="0" w:color="auto"/>
        <w:left w:val="none" w:sz="0" w:space="0" w:color="auto"/>
        <w:bottom w:val="none" w:sz="0" w:space="0" w:color="auto"/>
        <w:right w:val="none" w:sz="0" w:space="0" w:color="auto"/>
      </w:divBdr>
      <w:divsChild>
        <w:div w:id="1256551361">
          <w:marLeft w:val="0"/>
          <w:marRight w:val="0"/>
          <w:marTop w:val="0"/>
          <w:marBottom w:val="0"/>
          <w:divBdr>
            <w:top w:val="none" w:sz="0" w:space="0" w:color="auto"/>
            <w:left w:val="none" w:sz="0" w:space="0" w:color="auto"/>
            <w:bottom w:val="none" w:sz="0" w:space="0" w:color="auto"/>
            <w:right w:val="none" w:sz="0" w:space="0" w:color="auto"/>
          </w:divBdr>
          <w:divsChild>
            <w:div w:id="1822765932">
              <w:marLeft w:val="0"/>
              <w:marRight w:val="0"/>
              <w:marTop w:val="0"/>
              <w:marBottom w:val="0"/>
              <w:divBdr>
                <w:top w:val="none" w:sz="0" w:space="0" w:color="auto"/>
                <w:left w:val="none" w:sz="0" w:space="0" w:color="auto"/>
                <w:bottom w:val="none" w:sz="0" w:space="0" w:color="auto"/>
                <w:right w:val="none" w:sz="0" w:space="0" w:color="auto"/>
              </w:divBdr>
              <w:divsChild>
                <w:div w:id="2170221">
                  <w:marLeft w:val="0"/>
                  <w:marRight w:val="0"/>
                  <w:marTop w:val="0"/>
                  <w:marBottom w:val="0"/>
                  <w:divBdr>
                    <w:top w:val="none" w:sz="0" w:space="0" w:color="auto"/>
                    <w:left w:val="none" w:sz="0" w:space="0" w:color="auto"/>
                    <w:bottom w:val="none" w:sz="0" w:space="0" w:color="auto"/>
                    <w:right w:val="none" w:sz="0" w:space="0" w:color="auto"/>
                  </w:divBdr>
                  <w:divsChild>
                    <w:div w:id="1730953307">
                      <w:marLeft w:val="0"/>
                      <w:marRight w:val="0"/>
                      <w:marTop w:val="0"/>
                      <w:marBottom w:val="0"/>
                      <w:divBdr>
                        <w:top w:val="none" w:sz="0" w:space="0" w:color="auto"/>
                        <w:left w:val="none" w:sz="0" w:space="0" w:color="auto"/>
                        <w:bottom w:val="none" w:sz="0" w:space="0" w:color="auto"/>
                        <w:right w:val="none" w:sz="0" w:space="0" w:color="auto"/>
                      </w:divBdr>
                      <w:divsChild>
                        <w:div w:id="1764063850">
                          <w:marLeft w:val="0"/>
                          <w:marRight w:val="0"/>
                          <w:marTop w:val="0"/>
                          <w:marBottom w:val="0"/>
                          <w:divBdr>
                            <w:top w:val="none" w:sz="0" w:space="0" w:color="auto"/>
                            <w:left w:val="none" w:sz="0" w:space="0" w:color="auto"/>
                            <w:bottom w:val="none" w:sz="0" w:space="0" w:color="auto"/>
                            <w:right w:val="none" w:sz="0" w:space="0" w:color="auto"/>
                          </w:divBdr>
                          <w:divsChild>
                            <w:div w:id="1268390746">
                              <w:marLeft w:val="0"/>
                              <w:marRight w:val="0"/>
                              <w:marTop w:val="0"/>
                              <w:marBottom w:val="0"/>
                              <w:divBdr>
                                <w:top w:val="none" w:sz="0" w:space="0" w:color="auto"/>
                                <w:left w:val="none" w:sz="0" w:space="0" w:color="auto"/>
                                <w:bottom w:val="none" w:sz="0" w:space="0" w:color="auto"/>
                                <w:right w:val="none" w:sz="0" w:space="0" w:color="auto"/>
                              </w:divBdr>
                              <w:divsChild>
                                <w:div w:id="1991668653">
                                  <w:marLeft w:val="0"/>
                                  <w:marRight w:val="0"/>
                                  <w:marTop w:val="0"/>
                                  <w:marBottom w:val="0"/>
                                  <w:divBdr>
                                    <w:top w:val="none" w:sz="0" w:space="0" w:color="auto"/>
                                    <w:left w:val="none" w:sz="0" w:space="0" w:color="auto"/>
                                    <w:bottom w:val="none" w:sz="0" w:space="0" w:color="auto"/>
                                    <w:right w:val="none" w:sz="0" w:space="0" w:color="auto"/>
                                  </w:divBdr>
                                  <w:divsChild>
                                    <w:div w:id="1038966977">
                                      <w:marLeft w:val="0"/>
                                      <w:marRight w:val="0"/>
                                      <w:marTop w:val="0"/>
                                      <w:marBottom w:val="0"/>
                                      <w:divBdr>
                                        <w:top w:val="none" w:sz="0" w:space="0" w:color="auto"/>
                                        <w:left w:val="none" w:sz="0" w:space="0" w:color="auto"/>
                                        <w:bottom w:val="none" w:sz="0" w:space="0" w:color="auto"/>
                                        <w:right w:val="none" w:sz="0" w:space="0" w:color="auto"/>
                                      </w:divBdr>
                                      <w:divsChild>
                                        <w:div w:id="409087568">
                                          <w:marLeft w:val="0"/>
                                          <w:marRight w:val="0"/>
                                          <w:marTop w:val="0"/>
                                          <w:marBottom w:val="0"/>
                                          <w:divBdr>
                                            <w:top w:val="none" w:sz="0" w:space="0" w:color="auto"/>
                                            <w:left w:val="none" w:sz="0" w:space="0" w:color="auto"/>
                                            <w:bottom w:val="none" w:sz="0" w:space="0" w:color="auto"/>
                                            <w:right w:val="none" w:sz="0" w:space="0" w:color="auto"/>
                                          </w:divBdr>
                                          <w:divsChild>
                                            <w:div w:id="1141191501">
                                              <w:marLeft w:val="0"/>
                                              <w:marRight w:val="0"/>
                                              <w:marTop w:val="0"/>
                                              <w:marBottom w:val="0"/>
                                              <w:divBdr>
                                                <w:top w:val="none" w:sz="0" w:space="0" w:color="auto"/>
                                                <w:left w:val="none" w:sz="0" w:space="0" w:color="auto"/>
                                                <w:bottom w:val="none" w:sz="0" w:space="0" w:color="auto"/>
                                                <w:right w:val="none" w:sz="0" w:space="0" w:color="auto"/>
                                              </w:divBdr>
                                              <w:divsChild>
                                                <w:div w:id="1136409205">
                                                  <w:marLeft w:val="0"/>
                                                  <w:marRight w:val="0"/>
                                                  <w:marTop w:val="0"/>
                                                  <w:marBottom w:val="0"/>
                                                  <w:divBdr>
                                                    <w:top w:val="none" w:sz="0" w:space="0" w:color="auto"/>
                                                    <w:left w:val="none" w:sz="0" w:space="0" w:color="auto"/>
                                                    <w:bottom w:val="none" w:sz="0" w:space="0" w:color="auto"/>
                                                    <w:right w:val="none" w:sz="0" w:space="0" w:color="auto"/>
                                                  </w:divBdr>
                                                  <w:divsChild>
                                                    <w:div w:id="574170837">
                                                      <w:marLeft w:val="0"/>
                                                      <w:marRight w:val="0"/>
                                                      <w:marTop w:val="0"/>
                                                      <w:marBottom w:val="0"/>
                                                      <w:divBdr>
                                                        <w:top w:val="single" w:sz="12" w:space="0" w:color="ABABAB"/>
                                                        <w:left w:val="single" w:sz="6" w:space="0" w:color="ABABAB"/>
                                                        <w:bottom w:val="none" w:sz="0" w:space="0" w:color="auto"/>
                                                        <w:right w:val="single" w:sz="6" w:space="0" w:color="ABABAB"/>
                                                      </w:divBdr>
                                                      <w:divsChild>
                                                        <w:div w:id="800881800">
                                                          <w:marLeft w:val="0"/>
                                                          <w:marRight w:val="0"/>
                                                          <w:marTop w:val="0"/>
                                                          <w:marBottom w:val="0"/>
                                                          <w:divBdr>
                                                            <w:top w:val="none" w:sz="0" w:space="0" w:color="auto"/>
                                                            <w:left w:val="none" w:sz="0" w:space="0" w:color="auto"/>
                                                            <w:bottom w:val="none" w:sz="0" w:space="0" w:color="auto"/>
                                                            <w:right w:val="none" w:sz="0" w:space="0" w:color="auto"/>
                                                          </w:divBdr>
                                                          <w:divsChild>
                                                            <w:div w:id="1176504268">
                                                              <w:marLeft w:val="0"/>
                                                              <w:marRight w:val="0"/>
                                                              <w:marTop w:val="0"/>
                                                              <w:marBottom w:val="0"/>
                                                              <w:divBdr>
                                                                <w:top w:val="none" w:sz="0" w:space="0" w:color="auto"/>
                                                                <w:left w:val="none" w:sz="0" w:space="0" w:color="auto"/>
                                                                <w:bottom w:val="none" w:sz="0" w:space="0" w:color="auto"/>
                                                                <w:right w:val="none" w:sz="0" w:space="0" w:color="auto"/>
                                                              </w:divBdr>
                                                              <w:divsChild>
                                                                <w:div w:id="1855348">
                                                                  <w:marLeft w:val="0"/>
                                                                  <w:marRight w:val="0"/>
                                                                  <w:marTop w:val="0"/>
                                                                  <w:marBottom w:val="0"/>
                                                                  <w:divBdr>
                                                                    <w:top w:val="none" w:sz="0" w:space="0" w:color="auto"/>
                                                                    <w:left w:val="none" w:sz="0" w:space="0" w:color="auto"/>
                                                                    <w:bottom w:val="none" w:sz="0" w:space="0" w:color="auto"/>
                                                                    <w:right w:val="none" w:sz="0" w:space="0" w:color="auto"/>
                                                                  </w:divBdr>
                                                                  <w:divsChild>
                                                                    <w:div w:id="969091185">
                                                                      <w:marLeft w:val="0"/>
                                                                      <w:marRight w:val="0"/>
                                                                      <w:marTop w:val="0"/>
                                                                      <w:marBottom w:val="0"/>
                                                                      <w:divBdr>
                                                                        <w:top w:val="none" w:sz="0" w:space="0" w:color="auto"/>
                                                                        <w:left w:val="none" w:sz="0" w:space="0" w:color="auto"/>
                                                                        <w:bottom w:val="none" w:sz="0" w:space="0" w:color="auto"/>
                                                                        <w:right w:val="none" w:sz="0" w:space="0" w:color="auto"/>
                                                                      </w:divBdr>
                                                                      <w:divsChild>
                                                                        <w:div w:id="765737759">
                                                                          <w:marLeft w:val="0"/>
                                                                          <w:marRight w:val="0"/>
                                                                          <w:marTop w:val="0"/>
                                                                          <w:marBottom w:val="0"/>
                                                                          <w:divBdr>
                                                                            <w:top w:val="none" w:sz="0" w:space="0" w:color="auto"/>
                                                                            <w:left w:val="none" w:sz="0" w:space="0" w:color="auto"/>
                                                                            <w:bottom w:val="none" w:sz="0" w:space="0" w:color="auto"/>
                                                                            <w:right w:val="none" w:sz="0" w:space="0" w:color="auto"/>
                                                                          </w:divBdr>
                                                                          <w:divsChild>
                                                                            <w:div w:id="19954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56714">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sites/default/files/documents/Criteria%20for%20evaluating%20fair%20funding%20review%20proposals%20%28NR%20TWG%2018%2010%29.pdf" TargetMode="External"/><Relationship Id="rId26" Type="http://schemas.openxmlformats.org/officeDocument/2006/relationships/hyperlink" Target="https://www.local.gov.uk/sites/default/files/documents/Criteria%20for%20evaluating%20fair%20funding%20review%20proposals%20%28NR%20TWG%2018%2010%29.pdf" TargetMode="External"/><Relationship Id="rId3" Type="http://schemas.openxmlformats.org/officeDocument/2006/relationships/customXml" Target="../customXml/item3.xml"/><Relationship Id="rId21" Type="http://schemas.openxmlformats.org/officeDocument/2006/relationships/hyperlink" Target="https://www.local.gov.uk/business-rates-retention-mode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parliament/briefings-and-responses/budget-2018-briefing" TargetMode="External"/><Relationship Id="rId25" Type="http://schemas.openxmlformats.org/officeDocument/2006/relationships/hyperlink" Target="https://www.cipfa.org/about-cipfa/press-office/latest-press-releases/statement-from-cipfa-on-borrowing-in-advance-of-need-and-investments-in-commercial-properties"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budget-2018-summary" TargetMode="External"/><Relationship Id="rId20" Type="http://schemas.openxmlformats.org/officeDocument/2006/relationships/hyperlink" Target="https://www.local.gov.uk/fair-funding-review-modelling-tools" TargetMode="External"/><Relationship Id="rId29" Type="http://schemas.openxmlformats.org/officeDocument/2006/relationships/hyperlink" Target="https://www.local.gov.uk/fair-funding-review-modelling-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24" Type="http://schemas.openxmlformats.org/officeDocument/2006/relationships/hyperlink" Target="https://www.gov.uk/government/consultations/local-authority-budget-setting-mitigating-the-impact-of-fair-value-movements-on-pooled-investment-funds?utm_source=8399df1f-549b-4654-beda-ed5c7208c86f&amp;utm_medium=email&amp;utm_campaign=govuk-notifications&amp;utm_content=immediat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about/news/lga-responds-budget-2018" TargetMode="External"/><Relationship Id="rId23" Type="http://schemas.openxmlformats.org/officeDocument/2006/relationships/hyperlink" Target="https://www.gov.uk/government/publications/local-government-finance-review-of-governance-and-processes?utm_source=dfbb19ea-3251-4f2c-94fb-c13e10643ec4&amp;utm_medium=email&amp;utm_campaign=govuk-notifications&amp;utm_content=immediate" TargetMode="External"/><Relationship Id="rId28" Type="http://schemas.openxmlformats.org/officeDocument/2006/relationships/hyperlink" Target="https://www.local.gov.uk/fair-funding-review-modelling-tools" TargetMode="External"/><Relationship Id="rId10" Type="http://schemas.openxmlformats.org/officeDocument/2006/relationships/endnotes" Target="endnotes.xml"/><Relationship Id="rId19" Type="http://schemas.openxmlformats.org/officeDocument/2006/relationships/hyperlink" Target="https://www.local.gov.uk/sites/default/files/documents/Divergence%20of%20relative%20needs%20over%20time%20%28NR%20TWG%2018%2009%29.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ocal.gov.uk/lives-we-want-lead-lga-green-paper-adult-social-care" TargetMode="External"/><Relationship Id="rId27" Type="http://schemas.openxmlformats.org/officeDocument/2006/relationships/hyperlink" Target="https://www.local.gov.uk/sites/default/files/documents/Divergence%20of%20relative%20needs%20over%20time%20%28NR%20TWG%2018%2009%29.pdf" TargetMode="External"/><Relationship Id="rId30" Type="http://schemas.openxmlformats.org/officeDocument/2006/relationships/hyperlink" Target="https://www.local.gov.uk/business-rates-retention-model" TargetMode="Externa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d48ab6e22655d3227d84aef317fa69c">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21f771fd50b01f5946e39511c5337dc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33320922-3aa3-40cb-b26e-1bfebf933094"/>
    <ds:schemaRef ds:uri="http://purl.org/dc/elements/1.1/"/>
    <ds:schemaRef ds:uri="http://schemas.microsoft.com/office/infopath/2007/PartnerControls"/>
    <ds:schemaRef ds:uri="846c3db3-041b-47fd-b02b-1debea70191d"/>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E911EE5-3B96-4B7C-92C8-210333E2F8CC}">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E5BEEA6A-6A2A-4FBA-871C-F65C77D5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81749186</Template>
  <TotalTime>10</TotalTime>
  <Pages>10</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16</cp:revision>
  <cp:lastPrinted>2018-08-24T09:55:00Z</cp:lastPrinted>
  <dcterms:created xsi:type="dcterms:W3CDTF">2018-11-15T11:30:00Z</dcterms:created>
  <dcterms:modified xsi:type="dcterms:W3CDTF">2018-11-15T13:21:00Z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